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6A" w:rsidRPr="00D51B5C" w:rsidRDefault="006F1F6A" w:rsidP="00A25B63">
      <w:pPr>
        <w:pStyle w:val="CM23"/>
        <w:spacing w:after="120" w:line="240" w:lineRule="exact"/>
        <w:ind w:left="142"/>
        <w:rPr>
          <w:rFonts w:ascii="Times New Roman" w:hAnsi="Times New Roman"/>
          <w:b/>
          <w:sz w:val="23"/>
          <w:szCs w:val="23"/>
        </w:rPr>
      </w:pPr>
      <w:r w:rsidRPr="00D51B5C">
        <w:rPr>
          <w:rFonts w:ascii="Times New Roman" w:hAnsi="Times New Roman"/>
          <w:b/>
          <w:sz w:val="23"/>
          <w:szCs w:val="23"/>
        </w:rPr>
        <w:t xml:space="preserve">PREMESSO </w:t>
      </w:r>
    </w:p>
    <w:p w:rsidR="006F1F6A" w:rsidRPr="00CC27CE" w:rsidRDefault="006F1F6A" w:rsidP="00A25B63">
      <w:pPr>
        <w:autoSpaceDE w:val="0"/>
        <w:autoSpaceDN w:val="0"/>
        <w:adjustRightInd w:val="0"/>
        <w:spacing w:after="120" w:line="240" w:lineRule="exact"/>
        <w:ind w:left="142"/>
        <w:jc w:val="both"/>
      </w:pPr>
      <w:r w:rsidRPr="006574DD">
        <w:rPr>
          <w:b/>
        </w:rPr>
        <w:t>Che</w:t>
      </w:r>
      <w:r w:rsidRPr="006574DD">
        <w:t xml:space="preserve"> </w:t>
      </w:r>
      <w:r w:rsidRPr="00CC27CE">
        <w:t xml:space="preserve">con l’entrata in vigore del </w:t>
      </w:r>
      <w:proofErr w:type="spellStart"/>
      <w:r w:rsidRPr="00CC27CE">
        <w:t>D.lgs</w:t>
      </w:r>
      <w:proofErr w:type="spellEnd"/>
      <w:r w:rsidRPr="00CC27CE">
        <w:t xml:space="preserve"> 25 novembre 2016 n. 222, pubblicato sulla </w:t>
      </w:r>
      <w:proofErr w:type="spellStart"/>
      <w:r w:rsidRPr="00CC27CE">
        <w:t>G.U.R.I.</w:t>
      </w:r>
      <w:proofErr w:type="spellEnd"/>
      <w:r w:rsidRPr="00CC27CE">
        <w:t xml:space="preserve"> n. 277 del 26.11.2016, Supplemento ordinario n. 52 avente ad oggetto il riassetto dei regimi amministrativi applicabili a determinate attività e procedimenti, sono state introdotte modifiche anche ai procedimenti </w:t>
      </w:r>
      <w:proofErr w:type="spellStart"/>
      <w:r w:rsidRPr="00CC27CE">
        <w:t>urbanistico-edilizi</w:t>
      </w:r>
      <w:proofErr w:type="spellEnd"/>
      <w:r w:rsidRPr="00CC27CE">
        <w:t xml:space="preserve"> segnatamente alle procedure SCIA di cui all'art. 19 L. 241/90 e </w:t>
      </w:r>
      <w:proofErr w:type="spellStart"/>
      <w:r w:rsidRPr="00CC27CE">
        <w:t>ss.mm.ii.</w:t>
      </w:r>
      <w:proofErr w:type="spellEnd"/>
      <w:r w:rsidRPr="00CC27CE">
        <w:t xml:space="preserve">; </w:t>
      </w:r>
    </w:p>
    <w:p w:rsidR="006F1F6A" w:rsidRPr="006574DD" w:rsidRDefault="006F1F6A" w:rsidP="00A25B63">
      <w:pPr>
        <w:autoSpaceDE w:val="0"/>
        <w:autoSpaceDN w:val="0"/>
        <w:adjustRightInd w:val="0"/>
        <w:spacing w:after="120" w:line="240" w:lineRule="exact"/>
        <w:ind w:left="142"/>
        <w:jc w:val="both"/>
      </w:pPr>
      <w:r w:rsidRPr="00CC27CE">
        <w:rPr>
          <w:b/>
        </w:rPr>
        <w:t>Che</w:t>
      </w:r>
      <w:r>
        <w:t xml:space="preserve"> i</w:t>
      </w:r>
      <w:r w:rsidRPr="00894883">
        <w:t>l 4 maggio 2017 la Conferenza unificata ha approvato, ai sensi dell’articolo 2, comma 1 del d.lgs. 30 giugno 2016, n. 126, l’accordo tra Governo, Regioni ed enti locali sull'adozione di moduli unificati e standardizzati per la presentazione di segnalazioni, comunicazioni e istanze nei settori dell'edilizia e delle attività commerciali e assimilabili</w:t>
      </w:r>
      <w:r w:rsidRPr="00CC27CE">
        <w:t xml:space="preserve"> dettando le relative istruzioni operative sull'utilizzo della nuova modulistica e sancendo, altresì, l'obbligo: per le Regioni di adeguare i contenuti informatici di detta modulistica; per i Comuni, sulla base dei moduli adottati a livello regionale, di adeguare la propria mod</w:t>
      </w:r>
      <w:r>
        <w:t>ulistica</w:t>
      </w:r>
      <w:r w:rsidRPr="006574DD">
        <w:t>;</w:t>
      </w:r>
    </w:p>
    <w:p w:rsidR="006F1F6A" w:rsidRDefault="006F1F6A" w:rsidP="00A25B63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6574DD">
        <w:rPr>
          <w:b/>
        </w:rPr>
        <w:t>Che</w:t>
      </w:r>
      <w:r w:rsidRPr="006574DD">
        <w:t xml:space="preserve"> </w:t>
      </w:r>
      <w:r>
        <w:t>l</w:t>
      </w:r>
      <w:r w:rsidRPr="00894883">
        <w:t>e amministrazioni comunali, alle quali sono rivolte domande, segnalazioni e comunicazioni, hanno</w:t>
      </w:r>
      <w:r>
        <w:t xml:space="preserve"> pertanto </w:t>
      </w:r>
      <w:r w:rsidRPr="00894883">
        <w:t xml:space="preserve">l’obbligo di </w:t>
      </w:r>
      <w:r w:rsidRPr="002F7D25">
        <w:t>pubblicare sul loro sito istituzionale entro e non oltre il 30 giugno 2017 i moduli unificati e standardizzati, adottati con l’accordo e adattati dalle Regioni, ove necessario, alle specifiche normative regionali entro il 20 giugno 2017</w:t>
      </w:r>
      <w:r>
        <w:t>, assolvendo a tale incombenza anche tramite "</w:t>
      </w:r>
      <w:r w:rsidRPr="00894883">
        <w:t>Rinvio (link) alla piattaforma telematica utilizzata dal Comune</w:t>
      </w:r>
      <w:r>
        <w:t xml:space="preserve">" (come indicato nella nota ANCI </w:t>
      </w:r>
      <w:r w:rsidRPr="002F7D25">
        <w:t>Prot. 132405 del 25/5/2017</w:t>
      </w:r>
      <w:r>
        <w:t>);</w:t>
      </w:r>
    </w:p>
    <w:p w:rsidR="006F1F6A" w:rsidRDefault="006F1F6A" w:rsidP="00A25B63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D1491C">
        <w:rPr>
          <w:b/>
        </w:rPr>
        <w:t>Che,</w:t>
      </w:r>
      <w:r>
        <w:t xml:space="preserve"> con delibera di giunta regionale n. 237 del 14 giugno 2017 </w:t>
      </w:r>
      <w:r w:rsidRPr="00CC27CE">
        <w:t>il governo regionale Siciliano, nell'ambito del piano di rafforzamento amministrativo (PRA) - programmazione 2014/2020, ha adottato i modelli unificati e</w:t>
      </w:r>
      <w:r w:rsidRPr="007F5C17">
        <w:t xml:space="preserve"> standardizzati </w:t>
      </w:r>
    </w:p>
    <w:p w:rsidR="006F1F6A" w:rsidRPr="00CC27CE" w:rsidRDefault="00A25B63" w:rsidP="006F1F6A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A25B63">
        <w:rPr>
          <w:b/>
        </w:rPr>
        <w:t xml:space="preserve">Che </w:t>
      </w:r>
      <w:r w:rsidR="006F1F6A" w:rsidRPr="00CC27CE">
        <w:t>in materia dell'edilizia di cui all'accordo del 4 maggio 2017 in conformità alla proposta di cui alla nota prot. 3629/</w:t>
      </w:r>
      <w:proofErr w:type="spellStart"/>
      <w:r w:rsidR="006F1F6A" w:rsidRPr="00CC27CE">
        <w:t>Gab</w:t>
      </w:r>
      <w:proofErr w:type="spellEnd"/>
      <w:r w:rsidR="006F1F6A" w:rsidRPr="00CC27CE">
        <w:t>. del 14 giugno 2017 dell'assessore regionale per il territorio e l'ambiente, e successivo decreto n. 186 del 19 giugno;</w:t>
      </w:r>
    </w:p>
    <w:p w:rsidR="006F1F6A" w:rsidRPr="00CC27CE" w:rsidRDefault="006F1F6A" w:rsidP="006F1F6A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CC27CE">
        <w:rPr>
          <w:b/>
        </w:rPr>
        <w:t>Visto</w:t>
      </w:r>
      <w:r w:rsidRPr="00CC27CE">
        <w:t xml:space="preserve"> il testo unico delle disposizioni legislative e regolamentari in materia edilizia approvato con decreto del Presidente della Repubblica 6 giugno 2001, n. 380 e successive modifiche ed integrazioni, recepito con modifiche dalla legge regionale 10 agosto 2016, n. 16;</w:t>
      </w:r>
    </w:p>
    <w:p w:rsidR="006F1F6A" w:rsidRPr="00CC27CE" w:rsidRDefault="006F1F6A" w:rsidP="006F1F6A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CC27CE">
        <w:rPr>
          <w:b/>
        </w:rPr>
        <w:t>Visto</w:t>
      </w:r>
      <w:r w:rsidRPr="00CC27CE">
        <w:t xml:space="preserve"> il decreto legislativo 14 marzo 2013, n. 33 "Riordino della disciplina riguardante gli obblighi di pubblicità, trasparenza e diffusione di informazioni da parte delle pubbliche amministrazioni";</w:t>
      </w:r>
    </w:p>
    <w:p w:rsidR="006F1F6A" w:rsidRPr="00CC27CE" w:rsidRDefault="006F1F6A" w:rsidP="006F1F6A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CC27CE">
        <w:rPr>
          <w:b/>
        </w:rPr>
        <w:t>Visto</w:t>
      </w:r>
      <w:r w:rsidRPr="00CC27CE">
        <w:t xml:space="preserve"> l'art. 1 comma 3 del citato decreto legislativo 30 giugno 2016, n. 126 a mente del quale "le Regioni e i Comuni garantiscono la massima diffusione dei moduli";</w:t>
      </w:r>
    </w:p>
    <w:p w:rsidR="006F1F6A" w:rsidRPr="00CC27CE" w:rsidRDefault="006F1F6A" w:rsidP="006F1F6A">
      <w:pPr>
        <w:widowControl w:val="0"/>
        <w:autoSpaceDE w:val="0"/>
        <w:autoSpaceDN w:val="0"/>
        <w:adjustRightInd w:val="0"/>
        <w:spacing w:after="120"/>
        <w:ind w:left="142"/>
        <w:jc w:val="both"/>
      </w:pPr>
      <w:r w:rsidRPr="00CC27CE">
        <w:rPr>
          <w:b/>
        </w:rPr>
        <w:t>Ritenuto,</w:t>
      </w:r>
      <w:r w:rsidRPr="00CC27CE">
        <w:t xml:space="preserve"> nelle more dell'approvazione delle modifiche alla legge regionale 16/2016 in virtù delle modificazioni apportate dal più recente </w:t>
      </w:r>
      <w:proofErr w:type="spellStart"/>
      <w:r w:rsidRPr="00CC27CE">
        <w:t>D.lgs</w:t>
      </w:r>
      <w:proofErr w:type="spellEnd"/>
      <w:r w:rsidRPr="00CC27CE">
        <w:t xml:space="preserve"> 222/2016</w:t>
      </w:r>
      <w:r>
        <w:t>,</w:t>
      </w:r>
      <w:r w:rsidRPr="00CC27CE">
        <w:t xml:space="preserve"> che potranno comportare una revisione della modulistica in argomento, doversi comunque procedere all'adozione dei modelli standardizzati, al fine di ottemperare al richiesto termine ultimo di legge del 30.06.2017;</w:t>
      </w:r>
    </w:p>
    <w:p w:rsidR="006F1F6A" w:rsidRDefault="006F1F6A" w:rsidP="006F1F6A">
      <w:pPr>
        <w:widowControl w:val="0"/>
        <w:autoSpaceDE w:val="0"/>
        <w:autoSpaceDN w:val="0"/>
        <w:adjustRightInd w:val="0"/>
        <w:ind w:left="142"/>
        <w:jc w:val="both"/>
        <w:textAlignment w:val="baseline"/>
      </w:pPr>
      <w:r w:rsidRPr="00B72F73">
        <w:rPr>
          <w:b/>
        </w:rPr>
        <w:t xml:space="preserve">Ritenuto </w:t>
      </w:r>
      <w:r w:rsidRPr="00CC27CE">
        <w:t xml:space="preserve">di dover adeguare </w:t>
      </w:r>
      <w:r w:rsidR="00A25B63">
        <w:t xml:space="preserve">e/o implementare </w:t>
      </w:r>
      <w:r w:rsidRPr="00CC27CE">
        <w:t>i predetti modelli approvati con il decreto n. 186 del 19 giugno 2017</w:t>
      </w:r>
      <w:r w:rsidR="00A25B63">
        <w:t>, laddove occorrente per raccordare i medesimi alle norme locali sopravvenute</w:t>
      </w:r>
      <w:r>
        <w:t>;</w:t>
      </w:r>
    </w:p>
    <w:p w:rsidR="006F1F6A" w:rsidRDefault="006F1F6A" w:rsidP="006F1F6A">
      <w:pPr>
        <w:widowControl w:val="0"/>
        <w:autoSpaceDE w:val="0"/>
        <w:autoSpaceDN w:val="0"/>
        <w:adjustRightInd w:val="0"/>
        <w:ind w:left="142"/>
        <w:jc w:val="both"/>
        <w:textAlignment w:val="baseline"/>
      </w:pPr>
      <w:r>
        <w:rPr>
          <w:b/>
        </w:rPr>
        <w:t xml:space="preserve">Atteso </w:t>
      </w:r>
      <w:r>
        <w:t>che la Giunta Municipale</w:t>
      </w:r>
      <w:r w:rsidRPr="00A878CF">
        <w:t xml:space="preserve"> con precedenti atti giuntali di analogo oggetto (approvazione modulistica a seguito di interventi normativi</w:t>
      </w:r>
      <w:r>
        <w:t xml:space="preserve"> di semplificazione</w:t>
      </w:r>
      <w:r w:rsidRPr="00A878CF">
        <w:t>)</w:t>
      </w:r>
      <w:r>
        <w:t xml:space="preserve"> ha delegato il dirigente del Dipartimento Edilizia Privata a procedere con determinazioni dirigenziali;</w:t>
      </w:r>
    </w:p>
    <w:p w:rsidR="006F1F6A" w:rsidRDefault="006F1F6A" w:rsidP="006F1F6A">
      <w:pPr>
        <w:widowControl w:val="0"/>
        <w:autoSpaceDE w:val="0"/>
        <w:autoSpaceDN w:val="0"/>
        <w:adjustRightInd w:val="0"/>
        <w:ind w:left="142"/>
        <w:jc w:val="both"/>
        <w:textAlignment w:val="baseline"/>
      </w:pPr>
      <w:r>
        <w:rPr>
          <w:b/>
        </w:rPr>
        <w:t xml:space="preserve">Atteso altresì </w:t>
      </w:r>
      <w:r>
        <w:t xml:space="preserve">che con la deliberazione di G.M. n. </w:t>
      </w:r>
      <w:r w:rsidR="00C40B4F">
        <w:t xml:space="preserve">78 del 29.02.2024 </w:t>
      </w:r>
      <w:r>
        <w:t>recante “</w:t>
      </w:r>
      <w:r w:rsidR="00C40B4F">
        <w:t>Modalità di verifica a campione e attivazione dei controlli ex post da parte di AMAM s.p.a.”, è stato riadattato l’allegato 1 accluso al mod. di fine lavori ed al mod. conclusione dei procedimenti di sanatoria</w:t>
      </w:r>
      <w:r>
        <w:t>;</w:t>
      </w:r>
    </w:p>
    <w:p w:rsidR="00C40B4F" w:rsidRPr="00A878CF" w:rsidRDefault="00C40B4F" w:rsidP="006F1F6A">
      <w:pPr>
        <w:widowControl w:val="0"/>
        <w:autoSpaceDE w:val="0"/>
        <w:autoSpaceDN w:val="0"/>
        <w:adjustRightInd w:val="0"/>
        <w:ind w:left="142"/>
        <w:jc w:val="both"/>
        <w:textAlignment w:val="baseline"/>
      </w:pPr>
      <w:r w:rsidRPr="00B72F73">
        <w:rPr>
          <w:b/>
        </w:rPr>
        <w:t xml:space="preserve">Ritenuto </w:t>
      </w:r>
      <w:r>
        <w:rPr>
          <w:b/>
        </w:rPr>
        <w:t xml:space="preserve">pertanto </w:t>
      </w:r>
      <w:r w:rsidRPr="00CC27CE">
        <w:t xml:space="preserve">di dover </w:t>
      </w:r>
      <w:r>
        <w:t>procedere all’</w:t>
      </w:r>
      <w:r w:rsidRPr="00CC27CE">
        <w:t>adegua</w:t>
      </w:r>
      <w:r>
        <w:t>mento della modulistica vigente relativa sia al fine lavori che alla conclusione dei procedimenti in assenza di opere edili;</w:t>
      </w:r>
    </w:p>
    <w:p w:rsidR="006F1F6A" w:rsidRDefault="006F1F6A" w:rsidP="006F1F6A">
      <w:pPr>
        <w:widowControl w:val="0"/>
        <w:autoSpaceDE w:val="0"/>
        <w:autoSpaceDN w:val="0"/>
        <w:adjustRightInd w:val="0"/>
        <w:ind w:left="142"/>
        <w:jc w:val="both"/>
      </w:pPr>
      <w:r w:rsidRPr="00B72F73">
        <w:t>Tutto ciò premesso e considerato</w:t>
      </w:r>
    </w:p>
    <w:p w:rsidR="00C40B4F" w:rsidRPr="00B72F73" w:rsidRDefault="00C40B4F" w:rsidP="006F1F6A">
      <w:pPr>
        <w:widowControl w:val="0"/>
        <w:autoSpaceDE w:val="0"/>
        <w:autoSpaceDN w:val="0"/>
        <w:adjustRightInd w:val="0"/>
        <w:ind w:left="142"/>
        <w:jc w:val="both"/>
      </w:pPr>
    </w:p>
    <w:p w:rsidR="006F1F6A" w:rsidRPr="00B72F73" w:rsidRDefault="006F1F6A" w:rsidP="006F1F6A">
      <w:pPr>
        <w:autoSpaceDE w:val="0"/>
        <w:autoSpaceDN w:val="0"/>
        <w:adjustRightInd w:val="0"/>
        <w:spacing w:after="120"/>
        <w:ind w:left="142"/>
        <w:jc w:val="center"/>
      </w:pPr>
      <w:r w:rsidRPr="00B72F73">
        <w:rPr>
          <w:b/>
        </w:rPr>
        <w:t>DETERMINA</w:t>
      </w:r>
    </w:p>
    <w:p w:rsidR="006F1F6A" w:rsidRPr="00B72F73" w:rsidRDefault="005F31F0" w:rsidP="005F31F0">
      <w:pPr>
        <w:numPr>
          <w:ilvl w:val="0"/>
          <w:numId w:val="2"/>
        </w:numPr>
        <w:spacing w:after="120"/>
        <w:ind w:left="142" w:firstLine="0"/>
        <w:jc w:val="both"/>
      </w:pPr>
      <w:r>
        <w:rPr>
          <w:b/>
        </w:rPr>
        <w:t>Modificare</w:t>
      </w:r>
      <w:r w:rsidR="006F1F6A" w:rsidRPr="00B72F73">
        <w:t xml:space="preserve"> la modulistica </w:t>
      </w:r>
      <w:r w:rsidR="000102E2">
        <w:t>già in uso,</w:t>
      </w:r>
      <w:r w:rsidR="006F1F6A" w:rsidRPr="00B72F73">
        <w:t xml:space="preserve"> implementata </w:t>
      </w:r>
      <w:r>
        <w:t>del nuovo modello 1,</w:t>
      </w:r>
      <w:r w:rsidR="00C40B4F">
        <w:t xml:space="preserve"> </w:t>
      </w:r>
      <w:r>
        <w:t>a</w:t>
      </w:r>
      <w:r w:rsidR="00C40B4F">
        <w:t>pprovato con delibera di</w:t>
      </w:r>
      <w:r w:rsidR="000102E2">
        <w:t xml:space="preserve"> </w:t>
      </w:r>
      <w:r w:rsidR="00C40B4F">
        <w:t>G.M. n. 78 del 29.02.2024.</w:t>
      </w:r>
      <w:r>
        <w:t xml:space="preserve">                                  </w:t>
      </w:r>
    </w:p>
    <w:p w:rsidR="006F1F6A" w:rsidRPr="00B72F73" w:rsidRDefault="006F1F6A" w:rsidP="006F1F6A">
      <w:pPr>
        <w:numPr>
          <w:ilvl w:val="0"/>
          <w:numId w:val="2"/>
        </w:numPr>
        <w:spacing w:after="120"/>
        <w:ind w:left="142" w:firstLine="0"/>
        <w:jc w:val="both"/>
      </w:pPr>
      <w:r w:rsidRPr="00A14F1D">
        <w:rPr>
          <w:b/>
        </w:rPr>
        <w:t>Adottare</w:t>
      </w:r>
      <w:r w:rsidRPr="00B72F73">
        <w:t xml:space="preserve"> la modulistica citata al punto a), di seg</w:t>
      </w:r>
      <w:r w:rsidR="00C40B4F">
        <w:t>uito allegata, a far data dal 1</w:t>
      </w:r>
      <w:r w:rsidRPr="00B72F73">
        <w:t xml:space="preserve"> </w:t>
      </w:r>
      <w:r w:rsidR="00C40B4F">
        <w:t>marzo</w:t>
      </w:r>
      <w:r w:rsidRPr="00B72F73">
        <w:t xml:space="preserve"> 20</w:t>
      </w:r>
      <w:r w:rsidR="00C40B4F">
        <w:t>24</w:t>
      </w:r>
      <w:r w:rsidRPr="00B72F73">
        <w:t>.</w:t>
      </w:r>
    </w:p>
    <w:p w:rsidR="006F1F6A" w:rsidRPr="000102E2" w:rsidRDefault="006F1F6A" w:rsidP="00C40B4F">
      <w:pPr>
        <w:pStyle w:val="Paragrafoelenco"/>
        <w:widowControl w:val="0"/>
        <w:numPr>
          <w:ilvl w:val="0"/>
          <w:numId w:val="3"/>
        </w:numPr>
        <w:suppressAutoHyphens w:val="0"/>
        <w:spacing w:after="120"/>
        <w:contextualSpacing w:val="0"/>
        <w:jc w:val="both"/>
        <w:rPr>
          <w:sz w:val="22"/>
          <w:szCs w:val="22"/>
        </w:rPr>
      </w:pPr>
      <w:r w:rsidRPr="00C40B4F">
        <w:rPr>
          <w:sz w:val="22"/>
          <w:szCs w:val="22"/>
        </w:rPr>
        <w:t>8.Mod.CFL (ME) - Comunicazione di fine lavori, ex art. 6, comma 4, dpr 380/2001, recepito con modifiche dall'art. 3 della l.r. n. 16/2016 e art. 22, comma 3, del dpr 380/2001 recepito con modifiche dall'art. 10 della l.r. n. 16/2016.</w:t>
      </w:r>
    </w:p>
    <w:p w:rsidR="000102E2" w:rsidRPr="000102E2" w:rsidRDefault="000102E2" w:rsidP="000102E2">
      <w:pPr>
        <w:pStyle w:val="Paragrafoelenco"/>
        <w:widowControl w:val="0"/>
        <w:numPr>
          <w:ilvl w:val="0"/>
          <w:numId w:val="3"/>
        </w:numPr>
        <w:suppressAutoHyphens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8.Mod. </w:t>
      </w:r>
      <w:r w:rsidRPr="000102E2">
        <w:rPr>
          <w:sz w:val="22"/>
          <w:szCs w:val="22"/>
        </w:rPr>
        <w:t>C</w:t>
      </w:r>
      <w:r>
        <w:rPr>
          <w:sz w:val="22"/>
          <w:szCs w:val="22"/>
        </w:rPr>
        <w:t>CP (ME) - c</w:t>
      </w:r>
      <w:r w:rsidRPr="000102E2">
        <w:rPr>
          <w:sz w:val="22"/>
          <w:szCs w:val="22"/>
        </w:rPr>
        <w:t>omunicazione di chiusura di procedimento</w:t>
      </w:r>
      <w:r>
        <w:rPr>
          <w:sz w:val="22"/>
          <w:szCs w:val="22"/>
        </w:rPr>
        <w:t xml:space="preserve">, </w:t>
      </w:r>
      <w:r w:rsidRPr="000102E2">
        <w:rPr>
          <w:sz w:val="22"/>
          <w:szCs w:val="22"/>
        </w:rPr>
        <w:t>da utilizzare nei soli casi di procedure in sanatoria ed in assenza di opere edili</w:t>
      </w:r>
      <w:r>
        <w:rPr>
          <w:sz w:val="22"/>
          <w:szCs w:val="22"/>
        </w:rPr>
        <w:t>.</w:t>
      </w:r>
    </w:p>
    <w:p w:rsidR="007E1EB7" w:rsidRPr="00B72F73" w:rsidRDefault="007E1EB7" w:rsidP="000102E2">
      <w:pPr>
        <w:pStyle w:val="Paragrafoelenco"/>
        <w:widowControl w:val="0"/>
        <w:suppressAutoHyphens w:val="0"/>
        <w:spacing w:after="120"/>
        <w:ind w:left="1434"/>
        <w:contextualSpacing w:val="0"/>
        <w:jc w:val="both"/>
      </w:pPr>
    </w:p>
    <w:p w:rsidR="00FA29FA" w:rsidRPr="006D2976" w:rsidRDefault="00FA29FA" w:rsidP="00CF3368">
      <w:pPr>
        <w:jc w:val="both"/>
        <w:rPr>
          <w:sz w:val="24"/>
          <w:szCs w:val="24"/>
        </w:rPr>
      </w:pPr>
    </w:p>
    <w:sectPr w:rsidR="00FA29FA" w:rsidRPr="006D2976" w:rsidSect="00F21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2F" w:rsidRDefault="00A7212F" w:rsidP="00360B1B">
      <w:r>
        <w:separator/>
      </w:r>
    </w:p>
  </w:endnote>
  <w:endnote w:type="continuationSeparator" w:id="0">
    <w:p w:rsidR="00A7212F" w:rsidRDefault="00A7212F" w:rsidP="0036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2F" w:rsidRDefault="00A7212F" w:rsidP="00360B1B">
      <w:r>
        <w:separator/>
      </w:r>
    </w:p>
  </w:footnote>
  <w:footnote w:type="continuationSeparator" w:id="0">
    <w:p w:rsidR="00A7212F" w:rsidRDefault="00A7212F" w:rsidP="00360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1B" w:rsidRDefault="00360B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1959"/>
    <w:multiLevelType w:val="hybridMultilevel"/>
    <w:tmpl w:val="63AC1C82"/>
    <w:lvl w:ilvl="0" w:tplc="04100013">
      <w:start w:val="1"/>
      <w:numFmt w:val="upperRoman"/>
      <w:lvlText w:val="%1."/>
      <w:lvlJc w:val="right"/>
      <w:pPr>
        <w:ind w:left="1434" w:hanging="360"/>
      </w:pPr>
      <w:rPr>
        <w:rFonts w:hint="default"/>
        <w:b/>
        <w:i/>
      </w:rPr>
    </w:lvl>
    <w:lvl w:ilvl="1" w:tplc="0076EE7E">
      <w:start w:val="1"/>
      <w:numFmt w:val="decimal"/>
      <w:lvlText w:val="%2."/>
      <w:lvlJc w:val="left"/>
      <w:pPr>
        <w:ind w:left="2154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68B65109"/>
    <w:multiLevelType w:val="hybridMultilevel"/>
    <w:tmpl w:val="F31E8FDC"/>
    <w:lvl w:ilvl="0" w:tplc="B20CE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26465B"/>
    <w:multiLevelType w:val="hybridMultilevel"/>
    <w:tmpl w:val="2F08AD6C"/>
    <w:lvl w:ilvl="0" w:tplc="B4CEB0BE">
      <w:start w:val="1"/>
      <w:numFmt w:val="lowerLetter"/>
      <w:lvlText w:val="%1)"/>
      <w:lvlJc w:val="left"/>
      <w:pPr>
        <w:ind w:left="21279" w:hanging="360"/>
      </w:pPr>
      <w:rPr>
        <w:b/>
        <w:i/>
      </w:rPr>
    </w:lvl>
    <w:lvl w:ilvl="1" w:tplc="0076EE7E">
      <w:start w:val="1"/>
      <w:numFmt w:val="decimal"/>
      <w:lvlText w:val="%2."/>
      <w:lvlJc w:val="left"/>
      <w:pPr>
        <w:ind w:left="21999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719" w:hanging="180"/>
      </w:pPr>
    </w:lvl>
    <w:lvl w:ilvl="3" w:tplc="0410000F" w:tentative="1">
      <w:start w:val="1"/>
      <w:numFmt w:val="decimal"/>
      <w:lvlText w:val="%4."/>
      <w:lvlJc w:val="left"/>
      <w:pPr>
        <w:ind w:left="23439" w:hanging="360"/>
      </w:pPr>
    </w:lvl>
    <w:lvl w:ilvl="4" w:tplc="04100019" w:tentative="1">
      <w:start w:val="1"/>
      <w:numFmt w:val="lowerLetter"/>
      <w:lvlText w:val="%5."/>
      <w:lvlJc w:val="left"/>
      <w:pPr>
        <w:ind w:left="24159" w:hanging="360"/>
      </w:pPr>
    </w:lvl>
    <w:lvl w:ilvl="5" w:tplc="0410001B" w:tentative="1">
      <w:start w:val="1"/>
      <w:numFmt w:val="lowerRoman"/>
      <w:lvlText w:val="%6."/>
      <w:lvlJc w:val="right"/>
      <w:pPr>
        <w:ind w:left="24879" w:hanging="180"/>
      </w:pPr>
    </w:lvl>
    <w:lvl w:ilvl="6" w:tplc="0410000F" w:tentative="1">
      <w:start w:val="1"/>
      <w:numFmt w:val="decimal"/>
      <w:lvlText w:val="%7."/>
      <w:lvlJc w:val="left"/>
      <w:pPr>
        <w:ind w:left="25599" w:hanging="360"/>
      </w:pPr>
    </w:lvl>
    <w:lvl w:ilvl="7" w:tplc="04100019" w:tentative="1">
      <w:start w:val="1"/>
      <w:numFmt w:val="lowerLetter"/>
      <w:lvlText w:val="%8."/>
      <w:lvlJc w:val="left"/>
      <w:pPr>
        <w:ind w:left="26319" w:hanging="360"/>
      </w:pPr>
    </w:lvl>
    <w:lvl w:ilvl="8" w:tplc="0410001B" w:tentative="1">
      <w:start w:val="1"/>
      <w:numFmt w:val="lowerRoman"/>
      <w:lvlText w:val="%9."/>
      <w:lvlJc w:val="right"/>
      <w:pPr>
        <w:ind w:left="2703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stylePaneFormatFilter w:val="3F01"/>
  <w:defaultTabStop w:val="709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120D3"/>
    <w:rsid w:val="00000B7E"/>
    <w:rsid w:val="00003047"/>
    <w:rsid w:val="00004DB2"/>
    <w:rsid w:val="00005FDA"/>
    <w:rsid w:val="00010122"/>
    <w:rsid w:val="000102E2"/>
    <w:rsid w:val="000162C0"/>
    <w:rsid w:val="00016A49"/>
    <w:rsid w:val="000176CA"/>
    <w:rsid w:val="000234A7"/>
    <w:rsid w:val="00023A11"/>
    <w:rsid w:val="00025A8B"/>
    <w:rsid w:val="00027408"/>
    <w:rsid w:val="00032DFD"/>
    <w:rsid w:val="00032F10"/>
    <w:rsid w:val="00033FC2"/>
    <w:rsid w:val="00035705"/>
    <w:rsid w:val="00035D7B"/>
    <w:rsid w:val="00035EEE"/>
    <w:rsid w:val="000366C1"/>
    <w:rsid w:val="00036A21"/>
    <w:rsid w:val="00037121"/>
    <w:rsid w:val="00040998"/>
    <w:rsid w:val="00043129"/>
    <w:rsid w:val="000462A6"/>
    <w:rsid w:val="00054153"/>
    <w:rsid w:val="0005458D"/>
    <w:rsid w:val="00061CDD"/>
    <w:rsid w:val="00065BD6"/>
    <w:rsid w:val="00072F63"/>
    <w:rsid w:val="000751B1"/>
    <w:rsid w:val="00077C74"/>
    <w:rsid w:val="000813D8"/>
    <w:rsid w:val="00082BCD"/>
    <w:rsid w:val="000836DE"/>
    <w:rsid w:val="00083EDC"/>
    <w:rsid w:val="00091E03"/>
    <w:rsid w:val="000925FA"/>
    <w:rsid w:val="00095091"/>
    <w:rsid w:val="00095198"/>
    <w:rsid w:val="0009705D"/>
    <w:rsid w:val="000A25B5"/>
    <w:rsid w:val="000B3CBD"/>
    <w:rsid w:val="000B5CDA"/>
    <w:rsid w:val="000B6310"/>
    <w:rsid w:val="000C11AD"/>
    <w:rsid w:val="000C62BD"/>
    <w:rsid w:val="000D6B7F"/>
    <w:rsid w:val="000E3617"/>
    <w:rsid w:val="000E3AFB"/>
    <w:rsid w:val="000E56AF"/>
    <w:rsid w:val="000F2282"/>
    <w:rsid w:val="000F336E"/>
    <w:rsid w:val="000F6CE1"/>
    <w:rsid w:val="000F7BBB"/>
    <w:rsid w:val="00100903"/>
    <w:rsid w:val="00105219"/>
    <w:rsid w:val="0011038A"/>
    <w:rsid w:val="00111EF4"/>
    <w:rsid w:val="00112295"/>
    <w:rsid w:val="00114169"/>
    <w:rsid w:val="001177C5"/>
    <w:rsid w:val="00121513"/>
    <w:rsid w:val="00122C1A"/>
    <w:rsid w:val="00124D2A"/>
    <w:rsid w:val="00126870"/>
    <w:rsid w:val="00127A53"/>
    <w:rsid w:val="00130703"/>
    <w:rsid w:val="00132F71"/>
    <w:rsid w:val="001365FD"/>
    <w:rsid w:val="00141468"/>
    <w:rsid w:val="001443FE"/>
    <w:rsid w:val="001445BA"/>
    <w:rsid w:val="001448C9"/>
    <w:rsid w:val="001458E7"/>
    <w:rsid w:val="001521B3"/>
    <w:rsid w:val="00156CD2"/>
    <w:rsid w:val="00166107"/>
    <w:rsid w:val="00167EC1"/>
    <w:rsid w:val="00171402"/>
    <w:rsid w:val="00173ECB"/>
    <w:rsid w:val="00175011"/>
    <w:rsid w:val="00175FBA"/>
    <w:rsid w:val="001828FF"/>
    <w:rsid w:val="00192A83"/>
    <w:rsid w:val="00193835"/>
    <w:rsid w:val="001A1211"/>
    <w:rsid w:val="001A228E"/>
    <w:rsid w:val="001A2C06"/>
    <w:rsid w:val="001A332E"/>
    <w:rsid w:val="001A55F4"/>
    <w:rsid w:val="001A6A24"/>
    <w:rsid w:val="001B3A22"/>
    <w:rsid w:val="001C0551"/>
    <w:rsid w:val="001C1342"/>
    <w:rsid w:val="001C46E3"/>
    <w:rsid w:val="001D0ABF"/>
    <w:rsid w:val="001D2609"/>
    <w:rsid w:val="001D2865"/>
    <w:rsid w:val="001D4807"/>
    <w:rsid w:val="001D6563"/>
    <w:rsid w:val="001D69BC"/>
    <w:rsid w:val="001D7276"/>
    <w:rsid w:val="001D79AD"/>
    <w:rsid w:val="001E5116"/>
    <w:rsid w:val="001E5298"/>
    <w:rsid w:val="001E5B20"/>
    <w:rsid w:val="001E5BD1"/>
    <w:rsid w:val="001E6F1A"/>
    <w:rsid w:val="001E6FD1"/>
    <w:rsid w:val="001F19C6"/>
    <w:rsid w:val="001F44F5"/>
    <w:rsid w:val="001F6900"/>
    <w:rsid w:val="001F6AC2"/>
    <w:rsid w:val="00206D3A"/>
    <w:rsid w:val="002070A6"/>
    <w:rsid w:val="00207666"/>
    <w:rsid w:val="002100C7"/>
    <w:rsid w:val="00213954"/>
    <w:rsid w:val="00214375"/>
    <w:rsid w:val="00216F50"/>
    <w:rsid w:val="00216FAA"/>
    <w:rsid w:val="00217CDF"/>
    <w:rsid w:val="002272C2"/>
    <w:rsid w:val="00227520"/>
    <w:rsid w:val="00230BDB"/>
    <w:rsid w:val="00234101"/>
    <w:rsid w:val="00236B53"/>
    <w:rsid w:val="00236DA2"/>
    <w:rsid w:val="0024454A"/>
    <w:rsid w:val="00245A12"/>
    <w:rsid w:val="00247246"/>
    <w:rsid w:val="00247E5A"/>
    <w:rsid w:val="00253358"/>
    <w:rsid w:val="00257F79"/>
    <w:rsid w:val="002604FE"/>
    <w:rsid w:val="002605B1"/>
    <w:rsid w:val="00260872"/>
    <w:rsid w:val="00261582"/>
    <w:rsid w:val="0026236A"/>
    <w:rsid w:val="00262574"/>
    <w:rsid w:val="0026366F"/>
    <w:rsid w:val="00266814"/>
    <w:rsid w:val="00267327"/>
    <w:rsid w:val="002724A7"/>
    <w:rsid w:val="002733B5"/>
    <w:rsid w:val="00282C2F"/>
    <w:rsid w:val="00290070"/>
    <w:rsid w:val="002917FF"/>
    <w:rsid w:val="00295689"/>
    <w:rsid w:val="002A2998"/>
    <w:rsid w:val="002A4CFB"/>
    <w:rsid w:val="002B1787"/>
    <w:rsid w:val="002B3A96"/>
    <w:rsid w:val="002B704E"/>
    <w:rsid w:val="002C04B0"/>
    <w:rsid w:val="002C2497"/>
    <w:rsid w:val="002C360B"/>
    <w:rsid w:val="002C36A2"/>
    <w:rsid w:val="002C440F"/>
    <w:rsid w:val="002C509C"/>
    <w:rsid w:val="002D0AAC"/>
    <w:rsid w:val="002D0C5D"/>
    <w:rsid w:val="002D32C8"/>
    <w:rsid w:val="002D41BA"/>
    <w:rsid w:val="002D4A7B"/>
    <w:rsid w:val="002D61ED"/>
    <w:rsid w:val="002D76CD"/>
    <w:rsid w:val="002E6470"/>
    <w:rsid w:val="002F0584"/>
    <w:rsid w:val="002F37F5"/>
    <w:rsid w:val="002F4C49"/>
    <w:rsid w:val="002F6FDC"/>
    <w:rsid w:val="00301316"/>
    <w:rsid w:val="00302D5C"/>
    <w:rsid w:val="00304150"/>
    <w:rsid w:val="003053DD"/>
    <w:rsid w:val="00305D1E"/>
    <w:rsid w:val="003077D2"/>
    <w:rsid w:val="00307FBF"/>
    <w:rsid w:val="003105AF"/>
    <w:rsid w:val="00312B59"/>
    <w:rsid w:val="00331DD5"/>
    <w:rsid w:val="0034092A"/>
    <w:rsid w:val="00352348"/>
    <w:rsid w:val="00352B78"/>
    <w:rsid w:val="00355AAC"/>
    <w:rsid w:val="00356B0F"/>
    <w:rsid w:val="003601EC"/>
    <w:rsid w:val="0036048D"/>
    <w:rsid w:val="00360B1B"/>
    <w:rsid w:val="00361A7B"/>
    <w:rsid w:val="0036398C"/>
    <w:rsid w:val="00364994"/>
    <w:rsid w:val="003659CC"/>
    <w:rsid w:val="003671F1"/>
    <w:rsid w:val="003713CB"/>
    <w:rsid w:val="00374015"/>
    <w:rsid w:val="00374DDD"/>
    <w:rsid w:val="00384E6C"/>
    <w:rsid w:val="00390721"/>
    <w:rsid w:val="00391898"/>
    <w:rsid w:val="00394D59"/>
    <w:rsid w:val="003967EA"/>
    <w:rsid w:val="00396D89"/>
    <w:rsid w:val="00396E8F"/>
    <w:rsid w:val="003A7F0D"/>
    <w:rsid w:val="003B02E1"/>
    <w:rsid w:val="003B42B7"/>
    <w:rsid w:val="003B46DF"/>
    <w:rsid w:val="003B4D73"/>
    <w:rsid w:val="003B599D"/>
    <w:rsid w:val="003B6053"/>
    <w:rsid w:val="003B6FDB"/>
    <w:rsid w:val="003C0EB7"/>
    <w:rsid w:val="003C2579"/>
    <w:rsid w:val="003C7397"/>
    <w:rsid w:val="003D6056"/>
    <w:rsid w:val="003E06F5"/>
    <w:rsid w:val="003E5CD4"/>
    <w:rsid w:val="003E60EC"/>
    <w:rsid w:val="003E7BAD"/>
    <w:rsid w:val="003F01BA"/>
    <w:rsid w:val="003F4663"/>
    <w:rsid w:val="004020A2"/>
    <w:rsid w:val="0040220A"/>
    <w:rsid w:val="0040727E"/>
    <w:rsid w:val="00413BF5"/>
    <w:rsid w:val="00416EE5"/>
    <w:rsid w:val="0042002D"/>
    <w:rsid w:val="00420E50"/>
    <w:rsid w:val="00424F64"/>
    <w:rsid w:val="004267EC"/>
    <w:rsid w:val="00427EB8"/>
    <w:rsid w:val="004329F1"/>
    <w:rsid w:val="004331AD"/>
    <w:rsid w:val="00435166"/>
    <w:rsid w:val="004361AE"/>
    <w:rsid w:val="004365CD"/>
    <w:rsid w:val="00436CC8"/>
    <w:rsid w:val="00437BE6"/>
    <w:rsid w:val="004449A8"/>
    <w:rsid w:val="004465BB"/>
    <w:rsid w:val="004522E9"/>
    <w:rsid w:val="00452A79"/>
    <w:rsid w:val="004571A3"/>
    <w:rsid w:val="00457FB8"/>
    <w:rsid w:val="00460A27"/>
    <w:rsid w:val="00462EB0"/>
    <w:rsid w:val="0046509B"/>
    <w:rsid w:val="00465A0A"/>
    <w:rsid w:val="00466342"/>
    <w:rsid w:val="00467971"/>
    <w:rsid w:val="0047059F"/>
    <w:rsid w:val="00470683"/>
    <w:rsid w:val="00470AEC"/>
    <w:rsid w:val="00471425"/>
    <w:rsid w:val="0047237F"/>
    <w:rsid w:val="004736C5"/>
    <w:rsid w:val="0047582A"/>
    <w:rsid w:val="0048104B"/>
    <w:rsid w:val="004869A1"/>
    <w:rsid w:val="004929E7"/>
    <w:rsid w:val="00496D1B"/>
    <w:rsid w:val="004A4349"/>
    <w:rsid w:val="004A7EB6"/>
    <w:rsid w:val="004B1360"/>
    <w:rsid w:val="004B293F"/>
    <w:rsid w:val="004B333E"/>
    <w:rsid w:val="004B3A1E"/>
    <w:rsid w:val="004C0F67"/>
    <w:rsid w:val="004C52A9"/>
    <w:rsid w:val="004D0554"/>
    <w:rsid w:val="004D1472"/>
    <w:rsid w:val="004E3907"/>
    <w:rsid w:val="004E51DB"/>
    <w:rsid w:val="004F334A"/>
    <w:rsid w:val="00500A6C"/>
    <w:rsid w:val="0050589B"/>
    <w:rsid w:val="00507B3C"/>
    <w:rsid w:val="00511194"/>
    <w:rsid w:val="00520890"/>
    <w:rsid w:val="00521DCA"/>
    <w:rsid w:val="005233A3"/>
    <w:rsid w:val="00524213"/>
    <w:rsid w:val="00531E1E"/>
    <w:rsid w:val="005371E5"/>
    <w:rsid w:val="00537C74"/>
    <w:rsid w:val="00540FBB"/>
    <w:rsid w:val="005410F1"/>
    <w:rsid w:val="00541F4B"/>
    <w:rsid w:val="005423A4"/>
    <w:rsid w:val="0054285D"/>
    <w:rsid w:val="005439B1"/>
    <w:rsid w:val="005442FC"/>
    <w:rsid w:val="00546C57"/>
    <w:rsid w:val="0055104C"/>
    <w:rsid w:val="00551E5A"/>
    <w:rsid w:val="0055243D"/>
    <w:rsid w:val="00552ED8"/>
    <w:rsid w:val="0055527C"/>
    <w:rsid w:val="00556307"/>
    <w:rsid w:val="005656A3"/>
    <w:rsid w:val="00567C58"/>
    <w:rsid w:val="00573B6B"/>
    <w:rsid w:val="005766DA"/>
    <w:rsid w:val="0058133B"/>
    <w:rsid w:val="005819F3"/>
    <w:rsid w:val="005833F9"/>
    <w:rsid w:val="00584022"/>
    <w:rsid w:val="005856A4"/>
    <w:rsid w:val="00586C89"/>
    <w:rsid w:val="00590632"/>
    <w:rsid w:val="0059235D"/>
    <w:rsid w:val="00596E1E"/>
    <w:rsid w:val="00597209"/>
    <w:rsid w:val="00597B01"/>
    <w:rsid w:val="005A4FE1"/>
    <w:rsid w:val="005A505D"/>
    <w:rsid w:val="005B02D2"/>
    <w:rsid w:val="005B29A9"/>
    <w:rsid w:val="005B449A"/>
    <w:rsid w:val="005B4CA2"/>
    <w:rsid w:val="005D0888"/>
    <w:rsid w:val="005D6EBA"/>
    <w:rsid w:val="005E24F1"/>
    <w:rsid w:val="005E6A69"/>
    <w:rsid w:val="005E75D6"/>
    <w:rsid w:val="005E7DD1"/>
    <w:rsid w:val="005F0510"/>
    <w:rsid w:val="005F0DC5"/>
    <w:rsid w:val="005F0F7B"/>
    <w:rsid w:val="005F31BF"/>
    <w:rsid w:val="005F31F0"/>
    <w:rsid w:val="00603AEE"/>
    <w:rsid w:val="00604772"/>
    <w:rsid w:val="006073B4"/>
    <w:rsid w:val="0061007C"/>
    <w:rsid w:val="006113FB"/>
    <w:rsid w:val="006141C1"/>
    <w:rsid w:val="006143F9"/>
    <w:rsid w:val="00615E4D"/>
    <w:rsid w:val="00622B42"/>
    <w:rsid w:val="0062535C"/>
    <w:rsid w:val="006326B2"/>
    <w:rsid w:val="006348AE"/>
    <w:rsid w:val="00634E45"/>
    <w:rsid w:val="00640729"/>
    <w:rsid w:val="00640950"/>
    <w:rsid w:val="0064269B"/>
    <w:rsid w:val="00643AD9"/>
    <w:rsid w:val="00644E2F"/>
    <w:rsid w:val="00645ABF"/>
    <w:rsid w:val="006472BC"/>
    <w:rsid w:val="0065015B"/>
    <w:rsid w:val="00650C32"/>
    <w:rsid w:val="0065671E"/>
    <w:rsid w:val="006602C1"/>
    <w:rsid w:val="00660FFA"/>
    <w:rsid w:val="00662698"/>
    <w:rsid w:val="006667CA"/>
    <w:rsid w:val="00666CDC"/>
    <w:rsid w:val="00670FC5"/>
    <w:rsid w:val="00685674"/>
    <w:rsid w:val="0068700B"/>
    <w:rsid w:val="006913C6"/>
    <w:rsid w:val="0069169D"/>
    <w:rsid w:val="00695119"/>
    <w:rsid w:val="006A12D1"/>
    <w:rsid w:val="006B0FDC"/>
    <w:rsid w:val="006B1B4C"/>
    <w:rsid w:val="006B62D9"/>
    <w:rsid w:val="006C00F3"/>
    <w:rsid w:val="006C18CF"/>
    <w:rsid w:val="006C41AF"/>
    <w:rsid w:val="006D051B"/>
    <w:rsid w:val="006D2976"/>
    <w:rsid w:val="006D785B"/>
    <w:rsid w:val="006E176D"/>
    <w:rsid w:val="006E4F50"/>
    <w:rsid w:val="006E58EE"/>
    <w:rsid w:val="006E60A8"/>
    <w:rsid w:val="006F1F6A"/>
    <w:rsid w:val="006F3AEB"/>
    <w:rsid w:val="006F4392"/>
    <w:rsid w:val="006F4631"/>
    <w:rsid w:val="006F6527"/>
    <w:rsid w:val="0070173B"/>
    <w:rsid w:val="0070563E"/>
    <w:rsid w:val="00707EAD"/>
    <w:rsid w:val="00710C31"/>
    <w:rsid w:val="00714AF5"/>
    <w:rsid w:val="007152C8"/>
    <w:rsid w:val="00722316"/>
    <w:rsid w:val="00722986"/>
    <w:rsid w:val="00722F10"/>
    <w:rsid w:val="007252EB"/>
    <w:rsid w:val="00725873"/>
    <w:rsid w:val="00726A3B"/>
    <w:rsid w:val="00727CE4"/>
    <w:rsid w:val="0073029A"/>
    <w:rsid w:val="00730CC4"/>
    <w:rsid w:val="007319D9"/>
    <w:rsid w:val="007325F6"/>
    <w:rsid w:val="007367F3"/>
    <w:rsid w:val="00736DF8"/>
    <w:rsid w:val="0074707C"/>
    <w:rsid w:val="00747BEE"/>
    <w:rsid w:val="007503A1"/>
    <w:rsid w:val="0075048B"/>
    <w:rsid w:val="00750BC1"/>
    <w:rsid w:val="00751D55"/>
    <w:rsid w:val="00754323"/>
    <w:rsid w:val="00754DE2"/>
    <w:rsid w:val="00762134"/>
    <w:rsid w:val="00762EE5"/>
    <w:rsid w:val="00764062"/>
    <w:rsid w:val="007642FD"/>
    <w:rsid w:val="00765B31"/>
    <w:rsid w:val="00765EF2"/>
    <w:rsid w:val="00766E31"/>
    <w:rsid w:val="00777B34"/>
    <w:rsid w:val="00782AFC"/>
    <w:rsid w:val="007844C6"/>
    <w:rsid w:val="00785B87"/>
    <w:rsid w:val="00786A03"/>
    <w:rsid w:val="00790983"/>
    <w:rsid w:val="0079409B"/>
    <w:rsid w:val="007950D5"/>
    <w:rsid w:val="00797F6C"/>
    <w:rsid w:val="007B0AB2"/>
    <w:rsid w:val="007B17D3"/>
    <w:rsid w:val="007B1AC2"/>
    <w:rsid w:val="007B2010"/>
    <w:rsid w:val="007B347A"/>
    <w:rsid w:val="007B52EB"/>
    <w:rsid w:val="007B68B7"/>
    <w:rsid w:val="007D1792"/>
    <w:rsid w:val="007D1904"/>
    <w:rsid w:val="007D3053"/>
    <w:rsid w:val="007D782B"/>
    <w:rsid w:val="007E0412"/>
    <w:rsid w:val="007E1EB7"/>
    <w:rsid w:val="007E3C75"/>
    <w:rsid w:val="007E6A65"/>
    <w:rsid w:val="007F2409"/>
    <w:rsid w:val="007F45DE"/>
    <w:rsid w:val="007F6A97"/>
    <w:rsid w:val="007F7DC8"/>
    <w:rsid w:val="008031D3"/>
    <w:rsid w:val="008056B2"/>
    <w:rsid w:val="008138FA"/>
    <w:rsid w:val="00813AD7"/>
    <w:rsid w:val="00820AB5"/>
    <w:rsid w:val="00820ECE"/>
    <w:rsid w:val="00822B71"/>
    <w:rsid w:val="008358E8"/>
    <w:rsid w:val="00837DE2"/>
    <w:rsid w:val="00842B4F"/>
    <w:rsid w:val="0084330A"/>
    <w:rsid w:val="00844D78"/>
    <w:rsid w:val="0084755E"/>
    <w:rsid w:val="00851E42"/>
    <w:rsid w:val="0085546A"/>
    <w:rsid w:val="00861E86"/>
    <w:rsid w:val="0086271C"/>
    <w:rsid w:val="00863787"/>
    <w:rsid w:val="0086429C"/>
    <w:rsid w:val="00867306"/>
    <w:rsid w:val="00870DFC"/>
    <w:rsid w:val="00871F8A"/>
    <w:rsid w:val="00875078"/>
    <w:rsid w:val="00876EBA"/>
    <w:rsid w:val="00880552"/>
    <w:rsid w:val="008863F7"/>
    <w:rsid w:val="00886F96"/>
    <w:rsid w:val="008874BD"/>
    <w:rsid w:val="00890338"/>
    <w:rsid w:val="00890E2D"/>
    <w:rsid w:val="00892E86"/>
    <w:rsid w:val="0089580C"/>
    <w:rsid w:val="008A45C0"/>
    <w:rsid w:val="008A6E59"/>
    <w:rsid w:val="008A736D"/>
    <w:rsid w:val="008C2A11"/>
    <w:rsid w:val="008C3304"/>
    <w:rsid w:val="008C3570"/>
    <w:rsid w:val="008C3A31"/>
    <w:rsid w:val="008C6161"/>
    <w:rsid w:val="008D02A6"/>
    <w:rsid w:val="008D0D30"/>
    <w:rsid w:val="008D45CD"/>
    <w:rsid w:val="008D6320"/>
    <w:rsid w:val="008E5D15"/>
    <w:rsid w:val="008F0323"/>
    <w:rsid w:val="008F33F1"/>
    <w:rsid w:val="008F4565"/>
    <w:rsid w:val="008F4986"/>
    <w:rsid w:val="008F51F5"/>
    <w:rsid w:val="00901CB7"/>
    <w:rsid w:val="00905F3F"/>
    <w:rsid w:val="0090689F"/>
    <w:rsid w:val="00913850"/>
    <w:rsid w:val="009167BB"/>
    <w:rsid w:val="009177B0"/>
    <w:rsid w:val="0092071B"/>
    <w:rsid w:val="0092362B"/>
    <w:rsid w:val="009256AA"/>
    <w:rsid w:val="00930D56"/>
    <w:rsid w:val="00934350"/>
    <w:rsid w:val="0093496A"/>
    <w:rsid w:val="009365F2"/>
    <w:rsid w:val="00940296"/>
    <w:rsid w:val="00943387"/>
    <w:rsid w:val="009450DA"/>
    <w:rsid w:val="00945578"/>
    <w:rsid w:val="00950719"/>
    <w:rsid w:val="00950D8F"/>
    <w:rsid w:val="0095187C"/>
    <w:rsid w:val="009519A6"/>
    <w:rsid w:val="009562CD"/>
    <w:rsid w:val="00960839"/>
    <w:rsid w:val="0096255B"/>
    <w:rsid w:val="00963038"/>
    <w:rsid w:val="00970709"/>
    <w:rsid w:val="00971867"/>
    <w:rsid w:val="00972A07"/>
    <w:rsid w:val="00973382"/>
    <w:rsid w:val="0097623B"/>
    <w:rsid w:val="00976775"/>
    <w:rsid w:val="009802F9"/>
    <w:rsid w:val="009805D2"/>
    <w:rsid w:val="00981F53"/>
    <w:rsid w:val="0098347E"/>
    <w:rsid w:val="00985777"/>
    <w:rsid w:val="00986863"/>
    <w:rsid w:val="009876F1"/>
    <w:rsid w:val="009A5B21"/>
    <w:rsid w:val="009A6060"/>
    <w:rsid w:val="009A6AAF"/>
    <w:rsid w:val="009B3123"/>
    <w:rsid w:val="009C5520"/>
    <w:rsid w:val="009C5D31"/>
    <w:rsid w:val="009D0E33"/>
    <w:rsid w:val="009D40E8"/>
    <w:rsid w:val="009E34D0"/>
    <w:rsid w:val="009E3C56"/>
    <w:rsid w:val="009E3DF1"/>
    <w:rsid w:val="009E6988"/>
    <w:rsid w:val="009E7ACF"/>
    <w:rsid w:val="009F0B7C"/>
    <w:rsid w:val="009F1B23"/>
    <w:rsid w:val="009F772D"/>
    <w:rsid w:val="00A02479"/>
    <w:rsid w:val="00A02500"/>
    <w:rsid w:val="00A111F6"/>
    <w:rsid w:val="00A22C14"/>
    <w:rsid w:val="00A23203"/>
    <w:rsid w:val="00A24A95"/>
    <w:rsid w:val="00A25B63"/>
    <w:rsid w:val="00A26DB8"/>
    <w:rsid w:val="00A27C68"/>
    <w:rsid w:val="00A30FA8"/>
    <w:rsid w:val="00A31135"/>
    <w:rsid w:val="00A32232"/>
    <w:rsid w:val="00A3358E"/>
    <w:rsid w:val="00A34231"/>
    <w:rsid w:val="00A34B8B"/>
    <w:rsid w:val="00A3621E"/>
    <w:rsid w:val="00A362D2"/>
    <w:rsid w:val="00A42C48"/>
    <w:rsid w:val="00A442AF"/>
    <w:rsid w:val="00A4574E"/>
    <w:rsid w:val="00A53694"/>
    <w:rsid w:val="00A5610E"/>
    <w:rsid w:val="00A608C0"/>
    <w:rsid w:val="00A61D4C"/>
    <w:rsid w:val="00A628AC"/>
    <w:rsid w:val="00A63616"/>
    <w:rsid w:val="00A659A2"/>
    <w:rsid w:val="00A7212F"/>
    <w:rsid w:val="00A7269E"/>
    <w:rsid w:val="00A76E9C"/>
    <w:rsid w:val="00A771AF"/>
    <w:rsid w:val="00A91D9D"/>
    <w:rsid w:val="00A936FD"/>
    <w:rsid w:val="00AA28F1"/>
    <w:rsid w:val="00AB2A59"/>
    <w:rsid w:val="00AB631F"/>
    <w:rsid w:val="00AC2976"/>
    <w:rsid w:val="00AC30B3"/>
    <w:rsid w:val="00AC3A78"/>
    <w:rsid w:val="00AC4D67"/>
    <w:rsid w:val="00AD5553"/>
    <w:rsid w:val="00AD57CB"/>
    <w:rsid w:val="00AD6B4C"/>
    <w:rsid w:val="00AD710A"/>
    <w:rsid w:val="00AE05B7"/>
    <w:rsid w:val="00AE070A"/>
    <w:rsid w:val="00AE4DB2"/>
    <w:rsid w:val="00AF438B"/>
    <w:rsid w:val="00AF78CB"/>
    <w:rsid w:val="00B00C05"/>
    <w:rsid w:val="00B00ED8"/>
    <w:rsid w:val="00B019B7"/>
    <w:rsid w:val="00B0512E"/>
    <w:rsid w:val="00B07008"/>
    <w:rsid w:val="00B16FBD"/>
    <w:rsid w:val="00B17E61"/>
    <w:rsid w:val="00B24056"/>
    <w:rsid w:val="00B27243"/>
    <w:rsid w:val="00B46BB2"/>
    <w:rsid w:val="00B52AA3"/>
    <w:rsid w:val="00B54D9F"/>
    <w:rsid w:val="00B619B9"/>
    <w:rsid w:val="00B6569D"/>
    <w:rsid w:val="00B66AB2"/>
    <w:rsid w:val="00B67652"/>
    <w:rsid w:val="00B75771"/>
    <w:rsid w:val="00B76632"/>
    <w:rsid w:val="00B82CD3"/>
    <w:rsid w:val="00B839AC"/>
    <w:rsid w:val="00B84755"/>
    <w:rsid w:val="00B84E42"/>
    <w:rsid w:val="00B86ABA"/>
    <w:rsid w:val="00B9020A"/>
    <w:rsid w:val="00B9658A"/>
    <w:rsid w:val="00BA244D"/>
    <w:rsid w:val="00BA32BA"/>
    <w:rsid w:val="00BA411E"/>
    <w:rsid w:val="00BA5D2E"/>
    <w:rsid w:val="00BA6AC0"/>
    <w:rsid w:val="00BA6FEC"/>
    <w:rsid w:val="00BA780D"/>
    <w:rsid w:val="00BB1D02"/>
    <w:rsid w:val="00BB42E5"/>
    <w:rsid w:val="00BB4C90"/>
    <w:rsid w:val="00BC07D0"/>
    <w:rsid w:val="00BC66AB"/>
    <w:rsid w:val="00BD0021"/>
    <w:rsid w:val="00BD0443"/>
    <w:rsid w:val="00BD3340"/>
    <w:rsid w:val="00BD3C3A"/>
    <w:rsid w:val="00BD65E2"/>
    <w:rsid w:val="00BD66B4"/>
    <w:rsid w:val="00BE1479"/>
    <w:rsid w:val="00BE2311"/>
    <w:rsid w:val="00BE5026"/>
    <w:rsid w:val="00BE76CD"/>
    <w:rsid w:val="00BF0088"/>
    <w:rsid w:val="00BF0E41"/>
    <w:rsid w:val="00BF1BF5"/>
    <w:rsid w:val="00BF3F79"/>
    <w:rsid w:val="00C02B12"/>
    <w:rsid w:val="00C03705"/>
    <w:rsid w:val="00C03774"/>
    <w:rsid w:val="00C05024"/>
    <w:rsid w:val="00C149A4"/>
    <w:rsid w:val="00C1668B"/>
    <w:rsid w:val="00C25F24"/>
    <w:rsid w:val="00C275FB"/>
    <w:rsid w:val="00C31091"/>
    <w:rsid w:val="00C32582"/>
    <w:rsid w:val="00C33AEF"/>
    <w:rsid w:val="00C37E58"/>
    <w:rsid w:val="00C40B4F"/>
    <w:rsid w:val="00C46F1B"/>
    <w:rsid w:val="00C46FAA"/>
    <w:rsid w:val="00C53C46"/>
    <w:rsid w:val="00C54D32"/>
    <w:rsid w:val="00C57FFD"/>
    <w:rsid w:val="00C61861"/>
    <w:rsid w:val="00C63BFA"/>
    <w:rsid w:val="00C6467B"/>
    <w:rsid w:val="00C64D0D"/>
    <w:rsid w:val="00C7054D"/>
    <w:rsid w:val="00C75AED"/>
    <w:rsid w:val="00C80D06"/>
    <w:rsid w:val="00C93567"/>
    <w:rsid w:val="00C93655"/>
    <w:rsid w:val="00C96BB4"/>
    <w:rsid w:val="00C974A8"/>
    <w:rsid w:val="00CA0488"/>
    <w:rsid w:val="00CA27F3"/>
    <w:rsid w:val="00CA6367"/>
    <w:rsid w:val="00CA6446"/>
    <w:rsid w:val="00CB11EF"/>
    <w:rsid w:val="00CB614D"/>
    <w:rsid w:val="00CC1A44"/>
    <w:rsid w:val="00CC45D6"/>
    <w:rsid w:val="00CC48B0"/>
    <w:rsid w:val="00CC726F"/>
    <w:rsid w:val="00CD26AE"/>
    <w:rsid w:val="00CD49E4"/>
    <w:rsid w:val="00CD69A1"/>
    <w:rsid w:val="00CD76FF"/>
    <w:rsid w:val="00CE3645"/>
    <w:rsid w:val="00CE3843"/>
    <w:rsid w:val="00CE7BF6"/>
    <w:rsid w:val="00CF0E18"/>
    <w:rsid w:val="00CF132E"/>
    <w:rsid w:val="00CF1A20"/>
    <w:rsid w:val="00CF2103"/>
    <w:rsid w:val="00CF2C23"/>
    <w:rsid w:val="00CF3368"/>
    <w:rsid w:val="00CF44A2"/>
    <w:rsid w:val="00CF5F26"/>
    <w:rsid w:val="00D060F5"/>
    <w:rsid w:val="00D14DA4"/>
    <w:rsid w:val="00D207D7"/>
    <w:rsid w:val="00D22F83"/>
    <w:rsid w:val="00D238A3"/>
    <w:rsid w:val="00D247D3"/>
    <w:rsid w:val="00D24877"/>
    <w:rsid w:val="00D31C82"/>
    <w:rsid w:val="00D379B9"/>
    <w:rsid w:val="00D37DC7"/>
    <w:rsid w:val="00D37F71"/>
    <w:rsid w:val="00D44C68"/>
    <w:rsid w:val="00D54AEE"/>
    <w:rsid w:val="00D550F9"/>
    <w:rsid w:val="00D55CA6"/>
    <w:rsid w:val="00D56CD3"/>
    <w:rsid w:val="00D608B6"/>
    <w:rsid w:val="00D62FB4"/>
    <w:rsid w:val="00D6466B"/>
    <w:rsid w:val="00D66100"/>
    <w:rsid w:val="00D6757A"/>
    <w:rsid w:val="00D74404"/>
    <w:rsid w:val="00D7498B"/>
    <w:rsid w:val="00D76E08"/>
    <w:rsid w:val="00D81E28"/>
    <w:rsid w:val="00D83E57"/>
    <w:rsid w:val="00D878AC"/>
    <w:rsid w:val="00D915CE"/>
    <w:rsid w:val="00D928A4"/>
    <w:rsid w:val="00D949DD"/>
    <w:rsid w:val="00D965B8"/>
    <w:rsid w:val="00D96DC9"/>
    <w:rsid w:val="00DA1150"/>
    <w:rsid w:val="00DA593E"/>
    <w:rsid w:val="00DA711E"/>
    <w:rsid w:val="00DA7B0F"/>
    <w:rsid w:val="00DB057A"/>
    <w:rsid w:val="00DB6B26"/>
    <w:rsid w:val="00DC03B8"/>
    <w:rsid w:val="00DC3048"/>
    <w:rsid w:val="00DC319E"/>
    <w:rsid w:val="00DC3934"/>
    <w:rsid w:val="00DD21B7"/>
    <w:rsid w:val="00DD33FE"/>
    <w:rsid w:val="00DD5213"/>
    <w:rsid w:val="00DD5FBA"/>
    <w:rsid w:val="00DD7414"/>
    <w:rsid w:val="00DD7751"/>
    <w:rsid w:val="00DE0F21"/>
    <w:rsid w:val="00DE486B"/>
    <w:rsid w:val="00DE6C31"/>
    <w:rsid w:val="00DF38AA"/>
    <w:rsid w:val="00DF4441"/>
    <w:rsid w:val="00DF6070"/>
    <w:rsid w:val="00DF6135"/>
    <w:rsid w:val="00DF7787"/>
    <w:rsid w:val="00E01C25"/>
    <w:rsid w:val="00E026E6"/>
    <w:rsid w:val="00E04CF4"/>
    <w:rsid w:val="00E05A26"/>
    <w:rsid w:val="00E05EFA"/>
    <w:rsid w:val="00E120D3"/>
    <w:rsid w:val="00E13C50"/>
    <w:rsid w:val="00E153B9"/>
    <w:rsid w:val="00E16B4C"/>
    <w:rsid w:val="00E22412"/>
    <w:rsid w:val="00E24747"/>
    <w:rsid w:val="00E25C47"/>
    <w:rsid w:val="00E262C2"/>
    <w:rsid w:val="00E37FC7"/>
    <w:rsid w:val="00E40AE7"/>
    <w:rsid w:val="00E51243"/>
    <w:rsid w:val="00E60DFB"/>
    <w:rsid w:val="00E61167"/>
    <w:rsid w:val="00E62230"/>
    <w:rsid w:val="00E6371C"/>
    <w:rsid w:val="00E64438"/>
    <w:rsid w:val="00E65792"/>
    <w:rsid w:val="00E66964"/>
    <w:rsid w:val="00E66FDC"/>
    <w:rsid w:val="00E72384"/>
    <w:rsid w:val="00E742AE"/>
    <w:rsid w:val="00E77AAA"/>
    <w:rsid w:val="00E826F8"/>
    <w:rsid w:val="00E8333A"/>
    <w:rsid w:val="00E83C03"/>
    <w:rsid w:val="00E87C6E"/>
    <w:rsid w:val="00E90048"/>
    <w:rsid w:val="00E94F7D"/>
    <w:rsid w:val="00E97A5E"/>
    <w:rsid w:val="00EA21C7"/>
    <w:rsid w:val="00EA3B71"/>
    <w:rsid w:val="00EA47F5"/>
    <w:rsid w:val="00EB38C8"/>
    <w:rsid w:val="00EB5E16"/>
    <w:rsid w:val="00EB697A"/>
    <w:rsid w:val="00EB7EA3"/>
    <w:rsid w:val="00EC5680"/>
    <w:rsid w:val="00ED1B00"/>
    <w:rsid w:val="00ED1F23"/>
    <w:rsid w:val="00ED3821"/>
    <w:rsid w:val="00ED4187"/>
    <w:rsid w:val="00ED4D53"/>
    <w:rsid w:val="00EE18E2"/>
    <w:rsid w:val="00EE2485"/>
    <w:rsid w:val="00EE60EE"/>
    <w:rsid w:val="00EE63BC"/>
    <w:rsid w:val="00EF0C86"/>
    <w:rsid w:val="00EF2175"/>
    <w:rsid w:val="00EF2476"/>
    <w:rsid w:val="00EF776B"/>
    <w:rsid w:val="00F12087"/>
    <w:rsid w:val="00F1298C"/>
    <w:rsid w:val="00F17C64"/>
    <w:rsid w:val="00F21630"/>
    <w:rsid w:val="00F22282"/>
    <w:rsid w:val="00F2626A"/>
    <w:rsid w:val="00F30E2D"/>
    <w:rsid w:val="00F3400C"/>
    <w:rsid w:val="00F35459"/>
    <w:rsid w:val="00F42357"/>
    <w:rsid w:val="00F45F32"/>
    <w:rsid w:val="00F47250"/>
    <w:rsid w:val="00F535D9"/>
    <w:rsid w:val="00F5654C"/>
    <w:rsid w:val="00F578DA"/>
    <w:rsid w:val="00F64B0A"/>
    <w:rsid w:val="00F66CB4"/>
    <w:rsid w:val="00F70F02"/>
    <w:rsid w:val="00F7178D"/>
    <w:rsid w:val="00F7181B"/>
    <w:rsid w:val="00F7770A"/>
    <w:rsid w:val="00F807F9"/>
    <w:rsid w:val="00F8294B"/>
    <w:rsid w:val="00F83225"/>
    <w:rsid w:val="00F8409D"/>
    <w:rsid w:val="00F85D42"/>
    <w:rsid w:val="00F8690D"/>
    <w:rsid w:val="00F90EAB"/>
    <w:rsid w:val="00F92EB0"/>
    <w:rsid w:val="00F93B7D"/>
    <w:rsid w:val="00FA29FA"/>
    <w:rsid w:val="00FA532B"/>
    <w:rsid w:val="00FA6C57"/>
    <w:rsid w:val="00FA7325"/>
    <w:rsid w:val="00FA75D6"/>
    <w:rsid w:val="00FB13B7"/>
    <w:rsid w:val="00FB1C68"/>
    <w:rsid w:val="00FB1E60"/>
    <w:rsid w:val="00FB338E"/>
    <w:rsid w:val="00FB3958"/>
    <w:rsid w:val="00FB64BA"/>
    <w:rsid w:val="00FB79ED"/>
    <w:rsid w:val="00FB7B3F"/>
    <w:rsid w:val="00FC1965"/>
    <w:rsid w:val="00FC49FC"/>
    <w:rsid w:val="00FC4F64"/>
    <w:rsid w:val="00FC7B9C"/>
    <w:rsid w:val="00FD35B8"/>
    <w:rsid w:val="00FF2253"/>
    <w:rsid w:val="00FF30A8"/>
    <w:rsid w:val="00FF417A"/>
    <w:rsid w:val="00FF5314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3787"/>
  </w:style>
  <w:style w:type="paragraph" w:styleId="Titolo6">
    <w:name w:val="heading 6"/>
    <w:basedOn w:val="Normale"/>
    <w:next w:val="Normale"/>
    <w:qFormat/>
    <w:rsid w:val="00863787"/>
    <w:pPr>
      <w:keepNext/>
      <w:jc w:val="center"/>
      <w:outlineLvl w:val="5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26AE"/>
    <w:pPr>
      <w:suppressAutoHyphens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styleId="Collegamentoipertestuale">
    <w:name w:val="Hyperlink"/>
    <w:uiPriority w:val="99"/>
    <w:rsid w:val="00CD26AE"/>
    <w:rPr>
      <w:color w:val="0000FF"/>
      <w:u w:val="single"/>
    </w:rPr>
  </w:style>
  <w:style w:type="paragraph" w:customStyle="1" w:styleId="Corpodeltesto31">
    <w:name w:val="Corpo del testo 31"/>
    <w:basedOn w:val="Normale"/>
    <w:rsid w:val="00CD26AE"/>
    <w:pPr>
      <w:suppressAutoHyphens/>
      <w:spacing w:line="480" w:lineRule="exact"/>
      <w:jc w:val="both"/>
    </w:pPr>
    <w:rPr>
      <w:sz w:val="24"/>
      <w:lang w:eastAsia="ar-SA"/>
    </w:rPr>
  </w:style>
  <w:style w:type="paragraph" w:customStyle="1" w:styleId="Paragrafoelenco1">
    <w:name w:val="Paragrafo elenco1"/>
    <w:basedOn w:val="Normale"/>
    <w:rsid w:val="00CD26AE"/>
    <w:pPr>
      <w:ind w:left="720"/>
      <w:contextualSpacing/>
    </w:pPr>
    <w:rPr>
      <w:b/>
      <w:sz w:val="36"/>
      <w:lang w:eastAsia="en-US"/>
    </w:rPr>
  </w:style>
  <w:style w:type="paragraph" w:customStyle="1" w:styleId="Default">
    <w:name w:val="Default"/>
    <w:rsid w:val="00C05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360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60B1B"/>
  </w:style>
  <w:style w:type="paragraph" w:styleId="Pidipagina">
    <w:name w:val="footer"/>
    <w:basedOn w:val="Normale"/>
    <w:link w:val="PidipaginaCarattere"/>
    <w:rsid w:val="00360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0B1B"/>
  </w:style>
  <w:style w:type="paragraph" w:styleId="Testofumetto">
    <w:name w:val="Balloon Text"/>
    <w:basedOn w:val="Normale"/>
    <w:link w:val="TestofumettoCarattere"/>
    <w:rsid w:val="00083E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3EDC"/>
    <w:rPr>
      <w:rFonts w:ascii="Tahoma" w:hAnsi="Tahoma" w:cs="Tahoma"/>
      <w:sz w:val="16"/>
      <w:szCs w:val="16"/>
    </w:rPr>
  </w:style>
  <w:style w:type="paragraph" w:customStyle="1" w:styleId="CM23">
    <w:name w:val="CM23"/>
    <w:basedOn w:val="Default"/>
    <w:next w:val="Default"/>
    <w:uiPriority w:val="99"/>
    <w:rsid w:val="006F1F6A"/>
    <w:pPr>
      <w:widowControl w:val="0"/>
    </w:pPr>
    <w:rPr>
      <w:rFonts w:ascii="HiddenHorzOCl" w:hAnsi="HiddenHorzOC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3787"/>
  </w:style>
  <w:style w:type="paragraph" w:styleId="Titolo6">
    <w:name w:val="heading 6"/>
    <w:basedOn w:val="Normale"/>
    <w:next w:val="Normale"/>
    <w:qFormat/>
    <w:rsid w:val="00863787"/>
    <w:pPr>
      <w:keepNext/>
      <w:jc w:val="center"/>
      <w:outlineLvl w:val="5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D26AE"/>
    <w:pPr>
      <w:suppressAutoHyphens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styleId="Collegamentoipertestuale">
    <w:name w:val="Hyperlink"/>
    <w:rsid w:val="00CD26AE"/>
    <w:rPr>
      <w:color w:val="0000FF"/>
      <w:u w:val="single"/>
    </w:rPr>
  </w:style>
  <w:style w:type="paragraph" w:customStyle="1" w:styleId="Corpodeltesto31">
    <w:name w:val="Corpo del testo 31"/>
    <w:basedOn w:val="Normale"/>
    <w:rsid w:val="00CD26AE"/>
    <w:pPr>
      <w:suppressAutoHyphens/>
      <w:spacing w:line="480" w:lineRule="exact"/>
      <w:jc w:val="both"/>
    </w:pPr>
    <w:rPr>
      <w:sz w:val="24"/>
      <w:lang w:eastAsia="ar-SA"/>
    </w:rPr>
  </w:style>
  <w:style w:type="paragraph" w:customStyle="1" w:styleId="Paragrafoelenco1">
    <w:name w:val="Paragrafo elenco1"/>
    <w:basedOn w:val="Normale"/>
    <w:rsid w:val="00CD26AE"/>
    <w:pPr>
      <w:ind w:left="720"/>
      <w:contextualSpacing/>
    </w:pPr>
    <w:rPr>
      <w:b/>
      <w:sz w:val="36"/>
      <w:lang w:eastAsia="en-US"/>
    </w:rPr>
  </w:style>
  <w:style w:type="paragraph" w:customStyle="1" w:styleId="Default">
    <w:name w:val="Default"/>
    <w:rsid w:val="00C05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360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60B1B"/>
  </w:style>
  <w:style w:type="paragraph" w:styleId="Pidipagina">
    <w:name w:val="footer"/>
    <w:basedOn w:val="Normale"/>
    <w:link w:val="PidipaginaCarattere"/>
    <w:rsid w:val="00360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0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4657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http://www.urbamid.it/ConsultaIstanza.aspx</vt:lpwstr>
      </vt:variant>
      <vt:variant>
        <vt:lpwstr/>
      </vt:variant>
      <vt:variant>
        <vt:i4>7536752</vt:i4>
      </vt:variant>
      <vt:variant>
        <vt:i4>0</vt:i4>
      </vt:variant>
      <vt:variant>
        <vt:i4>0</vt:i4>
      </vt:variant>
      <vt:variant>
        <vt:i4>5</vt:i4>
      </vt:variant>
      <vt:variant>
        <vt:lpwstr>http://www.urbamid.it/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2024-03-01T07:35:00Z</dcterms:created>
  <dcterms:modified xsi:type="dcterms:W3CDTF">2024-03-01T08:00:00Z</dcterms:modified>
</cp:coreProperties>
</file>