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20" w:leader="none"/>
        </w:tabs>
        <w:suppressAutoHyphens w:val="true"/>
        <w:spacing w:lineRule="auto" w:line="264" w:before="0" w:after="0"/>
        <w:contextualSpacing/>
        <w:jc w:val="center"/>
        <w:rPr>
          <w:sz w:val="32"/>
          <w:szCs w:val="32"/>
        </w:rPr>
      </w:pPr>
      <w:r>
        <w:rPr>
          <w:rFonts w:ascii="Times New Roman" w:hAnsi="Times New Roman"/>
          <w:b/>
          <w:bCs/>
          <w:sz w:val="32"/>
          <w:szCs w:val="32"/>
        </w:rPr>
        <w:t>Elenco versamenti SCA</w:t>
      </w:r>
    </w:p>
    <w:p>
      <w:pPr>
        <w:pStyle w:val="Normal"/>
        <w:tabs>
          <w:tab w:val="clear" w:pos="708"/>
          <w:tab w:val="left" w:pos="720" w:leader="none"/>
        </w:tabs>
        <w:suppressAutoHyphens w:val="true"/>
        <w:spacing w:lineRule="auto" w:line="264" w:before="0" w:after="0"/>
        <w:contextualSpacing/>
        <w:jc w:val="both"/>
        <w:rPr>
          <w:rFonts w:ascii="Times New Roman" w:hAnsi="Times New Roman"/>
          <w:bCs/>
        </w:rPr>
      </w:pPr>
      <w:r>
        <w:rPr/>
      </w:r>
    </w:p>
    <w:p>
      <w:pPr>
        <w:pStyle w:val="Normal"/>
        <w:numPr>
          <w:ilvl w:val="0"/>
          <w:numId w:val="3"/>
        </w:numPr>
        <w:tabs>
          <w:tab w:val="clear" w:pos="708"/>
          <w:tab w:val="left" w:pos="720" w:leader="none"/>
        </w:tabs>
        <w:suppressAutoHyphens w:val="true"/>
        <w:spacing w:lineRule="auto" w:line="264" w:before="0" w:after="0"/>
        <w:contextualSpacing/>
        <w:jc w:val="both"/>
        <w:rPr>
          <w:rFonts w:ascii="Times New Roman" w:hAnsi="Times New Roman"/>
          <w:bCs/>
        </w:rPr>
      </w:pPr>
      <w:r>
        <w:rPr>
          <w:rFonts w:ascii="Times New Roman" w:hAnsi="Times New Roman"/>
          <w:b/>
          <w:bCs/>
        </w:rPr>
        <w:t xml:space="preserve">Attestazione di versamento/i, </w:t>
      </w:r>
      <w:r>
        <w:rPr>
          <w:rFonts w:ascii="Times New Roman" w:hAnsi="Times New Roman"/>
          <w:bCs/>
        </w:rPr>
        <w:t>intestato/i a: Municipio di Messina - Servizi di Tesoreria Comunale - C.C. Postale n° 14063986:</w:t>
      </w:r>
    </w:p>
    <w:p>
      <w:pPr>
        <w:pStyle w:val="Normal"/>
        <w:tabs>
          <w:tab w:val="clear" w:pos="708"/>
          <w:tab w:val="left" w:pos="720" w:leader="none"/>
        </w:tabs>
        <w:suppressAutoHyphens w:val="true"/>
        <w:spacing w:lineRule="auto" w:line="264" w:before="0" w:after="0"/>
        <w:ind w:left="720"/>
        <w:contextualSpacing/>
        <w:jc w:val="both"/>
        <w:rPr>
          <w:rFonts w:ascii="Times New Roman" w:hAnsi="Times New Roman"/>
          <w:bCs/>
        </w:rPr>
      </w:pPr>
      <w:r>
        <w:rPr>
          <w:rFonts w:ascii="Times New Roman" w:hAnsi="Times New Roman"/>
          <w:bCs/>
        </w:rPr>
      </w:r>
    </w:p>
    <w:p>
      <w:pPr>
        <w:pStyle w:val="Normal"/>
        <w:tabs>
          <w:tab w:val="clear" w:pos="708"/>
          <w:tab w:val="left" w:pos="720" w:leader="none"/>
        </w:tabs>
        <w:suppressAutoHyphens w:val="true"/>
        <w:spacing w:lineRule="auto" w:line="264" w:before="0" w:after="0"/>
        <w:ind w:left="360"/>
        <w:jc w:val="both"/>
        <w:rPr>
          <w:rFonts w:ascii="Times New Roman" w:hAnsi="Times New Roman"/>
          <w:bCs/>
        </w:rPr>
      </w:pPr>
      <w:r>
        <w:rPr>
          <w:rFonts w:ascii="Times New Roman" w:hAnsi="Times New Roman"/>
          <w:b/>
          <w:bCs/>
        </w:rPr>
        <w:t>Causale Cap. 327/1</w:t>
      </w:r>
      <w:r>
        <w:rPr>
          <w:rFonts w:ascii="Times New Roman" w:hAnsi="Times New Roman"/>
          <w:bCs/>
        </w:rPr>
        <w:t xml:space="preserve"> - </w:t>
      </w:r>
      <w:r>
        <w:rPr>
          <w:rFonts w:ascii="Times New Roman" w:hAnsi="Times New Roman"/>
          <w:b/>
          <w:bCs/>
        </w:rPr>
        <w:t>Diritti Segreteria</w:t>
      </w:r>
      <w:r>
        <w:rPr>
          <w:rFonts w:ascii="Times New Roman" w:hAnsi="Times New Roman"/>
          <w:bCs/>
        </w:rPr>
        <w:t>:</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bCs/>
        </w:rPr>
      </w:pPr>
      <w:hyperlink r:id="rId2"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50,00</w:t>
      </w:r>
      <w:r>
        <w:rPr>
          <w:rFonts w:ascii="Times New Roman" w:hAnsi="Times New Roman"/>
        </w:rPr>
        <w:t xml:space="preserve"> </w:t>
      </w:r>
      <w:r>
        <w:rPr>
          <w:rFonts w:ascii="Times New Roman" w:hAnsi="Times New Roman"/>
          <w:bCs/>
        </w:rPr>
        <w:t xml:space="preserve">se </w:t>
      </w:r>
      <w:r>
        <w:rPr>
          <w:rFonts w:ascii="Times New Roman" w:hAnsi="Times New Roman"/>
        </w:rPr>
        <w:t>&lt; 120 m</w:t>
      </w:r>
      <w:r>
        <w:rPr>
          <w:rFonts w:ascii="Times New Roman" w:hAnsi="Times New Roman"/>
          <w:vertAlign w:val="superscript"/>
        </w:rPr>
        <w:t xml:space="preserve">2 </w:t>
      </w:r>
      <w:r>
        <w:rPr>
          <w:rFonts w:ascii="Times New Roman" w:hAnsi="Times New Roman"/>
        </w:rPr>
        <w:t xml:space="preserve">(rif. superficie lorda) </w:t>
      </w:r>
      <w:r>
        <w:rPr>
          <w:rFonts w:ascii="Times New Roman" w:hAnsi="Times New Roman"/>
          <w:u w:val="single"/>
        </w:rPr>
        <w:t>per unità residenziali</w:t>
      </w:r>
      <w:r>
        <w:rPr>
          <w:rFonts w:ascii="Times New Roman" w:hAnsi="Times New Roman"/>
        </w:rPr>
        <w:t>;</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bCs/>
        </w:rPr>
      </w:pPr>
      <w:hyperlink r:id="rId3"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75,00</w:t>
      </w:r>
      <w:r>
        <w:rPr>
          <w:rFonts w:ascii="Times New Roman" w:hAnsi="Times New Roman"/>
        </w:rPr>
        <w:t xml:space="preserve"> </w:t>
      </w:r>
      <w:r>
        <w:rPr>
          <w:rFonts w:ascii="Times New Roman" w:hAnsi="Times New Roman"/>
          <w:bCs/>
        </w:rPr>
        <w:t xml:space="preserve">se </w:t>
      </w:r>
      <w:r>
        <w:rPr>
          <w:rFonts w:ascii="Times New Roman" w:hAnsi="Times New Roman"/>
        </w:rPr>
        <w:t>&gt; 120 m</w:t>
      </w:r>
      <w:r>
        <w:rPr>
          <w:rFonts w:ascii="Times New Roman" w:hAnsi="Times New Roman"/>
          <w:vertAlign w:val="superscript"/>
        </w:rPr>
        <w:t>2</w:t>
      </w:r>
      <w:r>
        <w:rPr>
          <w:rFonts w:ascii="Times New Roman" w:hAnsi="Times New Roman"/>
        </w:rPr>
        <w:t xml:space="preserve"> (rif. superficie lorda) </w:t>
      </w:r>
      <w:r>
        <w:rPr>
          <w:rFonts w:ascii="Times New Roman" w:hAnsi="Times New Roman"/>
          <w:u w:val="single"/>
        </w:rPr>
        <w:t>per unità residenziali</w:t>
      </w:r>
      <w:r>
        <w:rPr>
          <w:rFonts w:ascii="Times New Roman" w:hAnsi="Times New Roman"/>
        </w:rPr>
        <w:t>.</w:t>
      </w:r>
      <w:r>
        <w:rPr>
          <w:rFonts w:ascii="Times New Roman" w:hAnsi="Times New Roman"/>
          <w:bCs/>
        </w:rPr>
        <w:t xml:space="preserve"> </w:t>
      </w:r>
    </w:p>
    <w:p>
      <w:pPr>
        <w:pStyle w:val="ListParagraph"/>
        <w:tabs>
          <w:tab w:val="clear" w:pos="708"/>
          <w:tab w:val="left" w:pos="720" w:leader="none"/>
        </w:tabs>
        <w:suppressAutoHyphens w:val="true"/>
        <w:spacing w:lineRule="auto" w:line="264" w:before="0" w:after="0"/>
        <w:contextualSpacing/>
        <w:jc w:val="both"/>
        <w:rPr>
          <w:rFonts w:ascii="Times New Roman" w:hAnsi="Times New Roman"/>
          <w:bCs/>
        </w:rPr>
      </w:pPr>
      <w:r>
        <w:rPr>
          <w:rFonts w:ascii="Times New Roman" w:hAnsi="Times New Roman"/>
          <w:bCs/>
        </w:rPr>
      </w:r>
    </w:p>
    <w:p>
      <w:pPr>
        <w:pStyle w:val="Normal"/>
        <w:tabs>
          <w:tab w:val="clear" w:pos="708"/>
          <w:tab w:val="left" w:pos="720" w:leader="none"/>
        </w:tabs>
        <w:suppressAutoHyphens w:val="true"/>
        <w:spacing w:lineRule="auto" w:line="264" w:before="0" w:after="0"/>
        <w:ind w:left="360"/>
        <w:jc w:val="both"/>
        <w:rPr>
          <w:rFonts w:ascii="Times New Roman" w:hAnsi="Times New Roman"/>
          <w:bCs/>
        </w:rPr>
      </w:pPr>
      <w:r>
        <w:rPr>
          <w:rFonts w:ascii="Times New Roman" w:hAnsi="Times New Roman"/>
          <w:b/>
          <w:bCs/>
        </w:rPr>
        <w:t>Causale Cap. 327/1</w:t>
      </w:r>
      <w:r>
        <w:rPr>
          <w:rFonts w:ascii="Times New Roman" w:hAnsi="Times New Roman"/>
          <w:bCs/>
        </w:rPr>
        <w:t xml:space="preserve"> - </w:t>
      </w:r>
      <w:r>
        <w:rPr>
          <w:rFonts w:ascii="Times New Roman" w:hAnsi="Times New Roman"/>
          <w:b/>
          <w:bCs/>
        </w:rPr>
        <w:t>Diritti Segreteria</w:t>
      </w:r>
      <w:r>
        <w:rPr>
          <w:rFonts w:ascii="Times New Roman" w:hAnsi="Times New Roman"/>
          <w:bCs/>
        </w:rPr>
        <w:t>:</w:t>
      </w:r>
    </w:p>
    <w:p>
      <w:pPr>
        <w:pStyle w:val="ListParagraph"/>
        <w:numPr>
          <w:ilvl w:val="0"/>
          <w:numId w:val="5"/>
        </w:numPr>
        <w:rPr>
          <w:rFonts w:ascii="Times New Roman" w:hAnsi="Times New Roman"/>
        </w:rPr>
      </w:pPr>
      <w:hyperlink r:id="rId4" w:tgtFrame="Simbolo dell'euro">
        <w:r>
          <w:rPr>
            <w:rFonts w:ascii="Times New Roman" w:hAnsi="Times New Roman"/>
          </w:rPr>
          <w:t>€</w:t>
        </w:r>
      </w:hyperlink>
      <w:r>
        <w:rPr>
          <w:rFonts w:ascii="Times New Roman" w:hAnsi="Times New Roman"/>
        </w:rPr>
        <w:t xml:space="preserve"> </w:t>
      </w:r>
      <w:r>
        <w:rPr>
          <w:rFonts w:ascii="Times New Roman" w:hAnsi="Times New Roman"/>
        </w:rPr>
        <w:t>100,00 se ≤ 200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6"/>
        </w:numPr>
        <w:rPr>
          <w:rFonts w:ascii="Times New Roman" w:hAnsi="Times New Roman"/>
        </w:rPr>
      </w:pPr>
      <w:hyperlink r:id="rId5" w:tgtFrame="Simbolo dell'euro">
        <w:r>
          <w:rPr>
            <w:rFonts w:ascii="Times New Roman" w:hAnsi="Times New Roman"/>
          </w:rPr>
          <w:t>€</w:t>
        </w:r>
      </w:hyperlink>
      <w:r>
        <w:rPr>
          <w:rFonts w:ascii="Times New Roman" w:hAnsi="Times New Roman"/>
        </w:rPr>
        <w:t xml:space="preserve"> </w:t>
      </w:r>
      <w:r>
        <w:rPr>
          <w:rFonts w:ascii="Times New Roman" w:hAnsi="Times New Roman"/>
        </w:rPr>
        <w:t>200,00 se &gt; 200 mq e ≤ 1400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7"/>
        </w:numPr>
        <w:rPr>
          <w:rFonts w:ascii="Times New Roman" w:hAnsi="Times New Roman"/>
        </w:rPr>
      </w:pPr>
      <w:hyperlink r:id="rId6" w:tgtFrame="Simbolo dell'euro">
        <w:r>
          <w:rPr>
            <w:rFonts w:ascii="Times New Roman" w:hAnsi="Times New Roman"/>
          </w:rPr>
          <w:t>€</w:t>
        </w:r>
      </w:hyperlink>
      <w:r>
        <w:rPr>
          <w:rFonts w:ascii="Times New Roman" w:hAnsi="Times New Roman"/>
        </w:rPr>
        <w:t xml:space="preserve"> </w:t>
      </w:r>
      <w:r>
        <w:rPr>
          <w:rFonts w:ascii="Times New Roman" w:hAnsi="Times New Roman"/>
        </w:rPr>
        <w:t>400,00 se &gt; 1400 mq e ≤ 5000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8"/>
        </w:numPr>
        <w:rPr>
          <w:rFonts w:ascii="Times New Roman" w:hAnsi="Times New Roman"/>
        </w:rPr>
      </w:pPr>
      <w:hyperlink r:id="rId7" w:tgtFrame="Simbolo dell'euro">
        <w:r>
          <w:rPr>
            <w:rFonts w:ascii="Times New Roman" w:hAnsi="Times New Roman"/>
          </w:rPr>
          <w:t>€</w:t>
        </w:r>
      </w:hyperlink>
      <w:r>
        <w:rPr>
          <w:rFonts w:ascii="Times New Roman" w:hAnsi="Times New Roman"/>
        </w:rPr>
        <w:t xml:space="preserve"> </w:t>
      </w:r>
      <w:r>
        <w:rPr>
          <w:rFonts w:ascii="Times New Roman" w:hAnsi="Times New Roman"/>
        </w:rPr>
        <w:t>500,00 se &gt; 5000 mq (rif. superficie lorda)</w:t>
      </w:r>
      <w:r>
        <w:rPr>
          <w:rFonts w:ascii="Times New Roman" w:hAnsi="Times New Roman"/>
          <w:u w:val="single"/>
        </w:rPr>
        <w:t xml:space="preserve"> per unità non residenziali</w:t>
      </w:r>
      <w:r>
        <w:rPr>
          <w:rFonts w:ascii="Times New Roman" w:hAnsi="Times New Roman"/>
        </w:rPr>
        <w:t>.</w:t>
      </w:r>
    </w:p>
    <w:p>
      <w:pPr>
        <w:pStyle w:val="ListParagraph"/>
        <w:tabs>
          <w:tab w:val="clear" w:pos="708"/>
          <w:tab w:val="left" w:pos="720" w:leader="none"/>
        </w:tabs>
        <w:suppressAutoHyphens w:val="true"/>
        <w:spacing w:lineRule="auto" w:line="264" w:before="0" w:after="0"/>
        <w:contextualSpacing/>
        <w:jc w:val="both"/>
        <w:rPr>
          <w:rFonts w:ascii="Times New Roman" w:hAnsi="Times New Roman"/>
          <w:bCs/>
        </w:rPr>
      </w:pPr>
      <w:r>
        <w:rPr>
          <w:rFonts w:ascii="Times New Roman" w:hAnsi="Times New Roman"/>
          <w:bCs/>
        </w:rPr>
      </w:r>
    </w:p>
    <w:p>
      <w:pPr>
        <w:pStyle w:val="Normal"/>
        <w:tabs>
          <w:tab w:val="clear" w:pos="708"/>
          <w:tab w:val="left" w:pos="720" w:leader="none"/>
        </w:tabs>
        <w:suppressAutoHyphens w:val="true"/>
        <w:spacing w:lineRule="auto" w:line="264" w:before="0" w:after="0"/>
        <w:ind w:left="360"/>
        <w:jc w:val="both"/>
        <w:rPr>
          <w:rFonts w:ascii="Times New Roman" w:hAnsi="Times New Roman"/>
          <w:bCs/>
        </w:rPr>
      </w:pPr>
      <w:r>
        <w:rPr>
          <w:rFonts w:ascii="Times New Roman" w:hAnsi="Times New Roman"/>
          <w:b/>
          <w:bCs/>
        </w:rPr>
        <w:t>Causale Cap. 327/3</w:t>
      </w:r>
      <w:r>
        <w:rPr>
          <w:rFonts w:ascii="Times New Roman" w:hAnsi="Times New Roman"/>
          <w:bCs/>
        </w:rPr>
        <w:t xml:space="preserve"> - </w:t>
      </w:r>
      <w:r>
        <w:rPr>
          <w:rFonts w:ascii="Times New Roman" w:hAnsi="Times New Roman"/>
          <w:b/>
          <w:bCs/>
        </w:rPr>
        <w:t>Tariffa</w:t>
      </w:r>
      <w:r>
        <w:rPr>
          <w:rFonts w:ascii="Times New Roman" w:hAnsi="Times New Roman"/>
          <w:bCs/>
        </w:rPr>
        <w:t xml:space="preserve"> (nel caso di verifica SCIA nel termine di gg. 30 – trenta - dalla data di protocollo dell’istanza, ovvero dalla data di ultima integrazione):</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hyperlink r:id="rId8"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50,00</w:t>
      </w:r>
      <w:r>
        <w:rPr>
          <w:rFonts w:ascii="Times New Roman" w:hAnsi="Times New Roman"/>
        </w:rPr>
        <w:t xml:space="preserve"> </w:t>
      </w:r>
      <w:r>
        <w:rPr>
          <w:rFonts w:ascii="Times New Roman" w:hAnsi="Times New Roman"/>
          <w:bCs/>
        </w:rPr>
        <w:t xml:space="preserve">se </w:t>
      </w:r>
      <w:r>
        <w:rPr>
          <w:rFonts w:eastAsia="SymbolMT" w:ascii="Times New Roman" w:hAnsi="Times New Roman"/>
          <w:b/>
        </w:rPr>
        <w:t>≤</w:t>
      </w:r>
      <w:r>
        <w:rPr>
          <w:rFonts w:ascii="Times New Roman" w:hAnsi="Times New Roman"/>
        </w:rPr>
        <w:t xml:space="preserve"> 400 m</w:t>
      </w:r>
      <w:r>
        <w:rPr>
          <w:rFonts w:ascii="Times New Roman" w:hAnsi="Times New Roman"/>
          <w:vertAlign w:val="superscript"/>
        </w:rPr>
        <w:t>3</w:t>
      </w:r>
      <w:r>
        <w:rPr>
          <w:rFonts w:ascii="Times New Roman" w:hAnsi="Times New Roman"/>
        </w:rPr>
        <w:t xml:space="preserve"> (ca. 133 m</w:t>
      </w:r>
      <w:r>
        <w:rPr>
          <w:rFonts w:ascii="Times New Roman" w:hAnsi="Times New Roman"/>
          <w:vertAlign w:val="superscript"/>
        </w:rPr>
        <w:t>2</w:t>
      </w:r>
      <w:r>
        <w:rPr>
          <w:rFonts w:ascii="Times New Roman" w:hAnsi="Times New Roman"/>
        </w:rPr>
        <w:t xml:space="preserve">)  </w:t>
      </w:r>
      <w:r>
        <w:rPr>
          <w:rFonts w:ascii="Times New Roman" w:hAnsi="Times New Roman"/>
          <w:b/>
        </w:rPr>
        <w:t>per immobili unifamiliari (es. ville unifamiliari)</w:t>
      </w:r>
      <w:r>
        <w:rPr>
          <w:rFonts w:ascii="Times New Roman" w:hAnsi="Times New Roman"/>
        </w:rPr>
        <w:t>;</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hyperlink r:id="rId9"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100,00</w:t>
      </w:r>
      <w:r>
        <w:rPr>
          <w:rFonts w:ascii="Times New Roman" w:hAnsi="Times New Roman"/>
        </w:rPr>
        <w:t xml:space="preserve"> </w:t>
      </w:r>
      <w:r>
        <w:rPr>
          <w:rFonts w:ascii="Times New Roman" w:hAnsi="Times New Roman"/>
          <w:bCs/>
        </w:rPr>
        <w:t>se &gt;</w:t>
      </w:r>
      <w:r>
        <w:rPr>
          <w:rFonts w:ascii="Times New Roman" w:hAnsi="Times New Roman"/>
        </w:rPr>
        <w:t xml:space="preserve"> 400 m</w:t>
      </w:r>
      <w:r>
        <w:rPr>
          <w:rFonts w:ascii="Times New Roman" w:hAnsi="Times New Roman"/>
          <w:vertAlign w:val="superscript"/>
        </w:rPr>
        <w:t>3</w:t>
      </w:r>
      <w:r>
        <w:rPr>
          <w:rFonts w:ascii="Times New Roman" w:hAnsi="Times New Roman"/>
        </w:rPr>
        <w:t xml:space="preserve"> (ca. 133 m</w:t>
      </w:r>
      <w:r>
        <w:rPr>
          <w:rFonts w:ascii="Times New Roman" w:hAnsi="Times New Roman"/>
          <w:vertAlign w:val="superscript"/>
        </w:rPr>
        <w:t>2</w:t>
      </w:r>
      <w:r>
        <w:rPr>
          <w:rFonts w:ascii="Times New Roman" w:hAnsi="Times New Roman"/>
        </w:rPr>
        <w:t xml:space="preserve">)  </w:t>
      </w:r>
      <w:r>
        <w:rPr>
          <w:rFonts w:ascii="Times New Roman" w:hAnsi="Times New Roman"/>
          <w:b/>
        </w:rPr>
        <w:t>per immobili unifamiliari</w:t>
      </w:r>
      <w:r>
        <w:rPr>
          <w:rFonts w:ascii="Times New Roman" w:hAnsi="Times New Roman"/>
        </w:rPr>
        <w:t>;</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hyperlink r:id="rId10"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100,00</w:t>
      </w:r>
      <w:r>
        <w:rPr>
          <w:rFonts w:ascii="Times New Roman" w:hAnsi="Times New Roman"/>
        </w:rPr>
        <w:t xml:space="preserve"> </w:t>
      </w:r>
      <w:r>
        <w:rPr>
          <w:rFonts w:ascii="Times New Roman" w:hAnsi="Times New Roman"/>
          <w:bCs/>
        </w:rPr>
        <w:t xml:space="preserve">se </w:t>
      </w:r>
      <w:r>
        <w:rPr>
          <w:rFonts w:eastAsia="SymbolMT" w:ascii="Times New Roman" w:hAnsi="Times New Roman"/>
          <w:b/>
        </w:rPr>
        <w:t>≤</w:t>
      </w:r>
      <w:r>
        <w:rPr>
          <w:rFonts w:ascii="Times New Roman" w:hAnsi="Times New Roman"/>
        </w:rPr>
        <w:t xml:space="preserve"> 400 m</w:t>
      </w:r>
      <w:r>
        <w:rPr>
          <w:rFonts w:ascii="Times New Roman" w:hAnsi="Times New Roman"/>
          <w:vertAlign w:val="superscript"/>
        </w:rPr>
        <w:t>3</w:t>
      </w:r>
      <w:r>
        <w:rPr>
          <w:rFonts w:ascii="Times New Roman" w:hAnsi="Times New Roman"/>
        </w:rPr>
        <w:t xml:space="preserve"> (ca. 133 m</w:t>
      </w:r>
      <w:r>
        <w:rPr>
          <w:rFonts w:ascii="Times New Roman" w:hAnsi="Times New Roman"/>
          <w:vertAlign w:val="superscript"/>
        </w:rPr>
        <w:t>2</w:t>
      </w:r>
      <w:r>
        <w:rPr>
          <w:rFonts w:ascii="Times New Roman" w:hAnsi="Times New Roman"/>
        </w:rPr>
        <w:t xml:space="preserve">.) </w:t>
      </w:r>
      <w:r>
        <w:rPr>
          <w:rFonts w:ascii="Times New Roman" w:hAnsi="Times New Roman"/>
          <w:b/>
        </w:rPr>
        <w:t>per immobili residenziali compresi in corpi di fabbrica plurifamiliari (es. complessi - palazzi)</w:t>
      </w:r>
      <w:r>
        <w:rPr>
          <w:rFonts w:ascii="Times New Roman" w:hAnsi="Times New Roman"/>
        </w:rPr>
        <w:t>;</w:t>
      </w:r>
      <w:r>
        <w:rPr>
          <w:rFonts w:ascii="Times New Roman" w:hAnsi="Times New Roman"/>
          <w:bCs/>
        </w:rPr>
        <w:t xml:space="preserve">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hyperlink r:id="rId11" w:tgtFrame="Simbolo dell'euro">
        <w:r>
          <w:rPr>
            <w:rStyle w:val="Hyperlink"/>
            <w:rFonts w:ascii="Times New Roman" w:hAnsi="Times New Roman"/>
            <w:b/>
            <w:bCs/>
          </w:rPr>
          <w:t>€</w:t>
        </w:r>
      </w:hyperlink>
      <w:r>
        <w:rPr>
          <w:rFonts w:ascii="Times New Roman" w:hAnsi="Times New Roman"/>
          <w:b/>
        </w:rPr>
        <w:t xml:space="preserve"> </w:t>
      </w:r>
      <w:r>
        <w:rPr>
          <w:rFonts w:ascii="Times New Roman" w:hAnsi="Times New Roman"/>
          <w:b/>
        </w:rPr>
        <w:t>200,00</w:t>
      </w:r>
      <w:r>
        <w:rPr>
          <w:rFonts w:ascii="Times New Roman" w:hAnsi="Times New Roman"/>
        </w:rPr>
        <w:t xml:space="preserve"> </w:t>
      </w:r>
      <w:r>
        <w:rPr>
          <w:rFonts w:ascii="Times New Roman" w:hAnsi="Times New Roman"/>
          <w:bCs/>
        </w:rPr>
        <w:t xml:space="preserve">se </w:t>
      </w:r>
      <w:r>
        <w:rPr>
          <w:rFonts w:ascii="Times New Roman" w:hAnsi="Times New Roman"/>
        </w:rPr>
        <w:t>&gt; 401 m</w:t>
      </w:r>
      <w:r>
        <w:rPr>
          <w:rFonts w:ascii="Times New Roman" w:hAnsi="Times New Roman"/>
          <w:vertAlign w:val="superscript"/>
        </w:rPr>
        <w:t>3</w:t>
      </w:r>
      <w:r>
        <w:rPr>
          <w:rFonts w:ascii="Times New Roman" w:hAnsi="Times New Roman"/>
        </w:rPr>
        <w:t xml:space="preserve"> (ca. 133 m</w:t>
      </w:r>
      <w:r>
        <w:rPr>
          <w:rFonts w:ascii="Times New Roman" w:hAnsi="Times New Roman"/>
          <w:vertAlign w:val="superscript"/>
        </w:rPr>
        <w:t>2</w:t>
      </w:r>
      <w:r>
        <w:rPr>
          <w:rFonts w:ascii="Times New Roman" w:hAnsi="Times New Roman"/>
        </w:rPr>
        <w:t xml:space="preserve">)  </w:t>
      </w:r>
      <w:r>
        <w:rPr>
          <w:rFonts w:ascii="Times New Roman" w:hAnsi="Times New Roman"/>
          <w:b/>
        </w:rPr>
        <w:t>per immobili residenziali compresi in corpi di fabbrica plurifamiliari (es. complessi - palazzi)</w:t>
      </w:r>
      <w:r>
        <w:rPr>
          <w:rFonts w:ascii="Times New Roman" w:hAnsi="Times New Roman"/>
        </w:rPr>
        <w:t>;</w:t>
      </w:r>
    </w:p>
    <w:p>
      <w:pPr>
        <w:pStyle w:val="ListParagraph"/>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rPr>
      </w:r>
    </w:p>
    <w:p>
      <w:pPr>
        <w:pStyle w:val="Normal"/>
        <w:tabs>
          <w:tab w:val="clear" w:pos="708"/>
          <w:tab w:val="left" w:pos="720" w:leader="none"/>
        </w:tabs>
        <w:suppressAutoHyphens w:val="true"/>
        <w:spacing w:lineRule="auto" w:line="264" w:before="0" w:after="0"/>
        <w:ind w:left="360"/>
        <w:jc w:val="both"/>
        <w:rPr>
          <w:rFonts w:ascii="Times New Roman" w:hAnsi="Times New Roman"/>
        </w:rPr>
      </w:pPr>
      <w:r>
        <w:rPr>
          <w:rFonts w:ascii="Times New Roman" w:hAnsi="Times New Roman"/>
          <w:b/>
          <w:bCs/>
        </w:rPr>
        <w:t>Causale Cap. 327/3</w:t>
      </w:r>
      <w:r>
        <w:rPr>
          <w:rFonts w:ascii="Times New Roman" w:hAnsi="Times New Roman"/>
          <w:bCs/>
        </w:rPr>
        <w:t xml:space="preserve"> - </w:t>
      </w:r>
      <w:r>
        <w:rPr>
          <w:rFonts w:ascii="Times New Roman" w:hAnsi="Times New Roman"/>
          <w:b/>
          <w:bCs/>
        </w:rPr>
        <w:t>Tariffa</w:t>
      </w:r>
      <w:r>
        <w:rPr>
          <w:rFonts w:ascii="Times New Roman" w:hAnsi="Times New Roman"/>
          <w:bCs/>
        </w:rPr>
        <w:t xml:space="preserve"> (nel caso di verifica SCIA nel termine di gg. 30 – trenta - dalla data di protocollo dell’istanza, ovvero dalla data di ultima integrazione):</w:t>
      </w:r>
    </w:p>
    <w:p>
      <w:pPr>
        <w:pStyle w:val="ListParagraph"/>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rPr>
      </w:r>
    </w:p>
    <w:p>
      <w:pPr>
        <w:pStyle w:val="ListParagraph"/>
        <w:numPr>
          <w:ilvl w:val="0"/>
          <w:numId w:val="2"/>
        </w:numPr>
        <w:rPr>
          <w:rFonts w:ascii="Times New Roman" w:hAnsi="Times New Roman"/>
        </w:rPr>
      </w:pPr>
      <w:hyperlink r:id="rId12" w:tgtFrame="Simbolo dell'euro">
        <w:r>
          <w:rPr>
            <w:rFonts w:ascii="Times New Roman" w:hAnsi="Times New Roman"/>
          </w:rPr>
          <w:t>€</w:t>
        </w:r>
      </w:hyperlink>
      <w:r>
        <w:rPr>
          <w:rFonts w:ascii="Times New Roman" w:hAnsi="Times New Roman"/>
        </w:rPr>
        <w:t xml:space="preserve"> </w:t>
      </w:r>
      <w:r>
        <w:rPr>
          <w:rFonts w:ascii="Times New Roman" w:hAnsi="Times New Roman"/>
        </w:rPr>
        <w:t>100,00 se ≤ 200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2"/>
        </w:numPr>
        <w:rPr>
          <w:rFonts w:ascii="Times New Roman" w:hAnsi="Times New Roman"/>
        </w:rPr>
      </w:pPr>
      <w:hyperlink r:id="rId13" w:tgtFrame="Simbolo dell'euro">
        <w:r>
          <w:rPr>
            <w:rFonts w:ascii="Times New Roman" w:hAnsi="Times New Roman"/>
          </w:rPr>
          <w:t>€</w:t>
        </w:r>
      </w:hyperlink>
      <w:r>
        <w:rPr>
          <w:rFonts w:ascii="Times New Roman" w:hAnsi="Times New Roman"/>
        </w:rPr>
        <w:t xml:space="preserve"> </w:t>
      </w:r>
      <w:r>
        <w:rPr>
          <w:rFonts w:ascii="Times New Roman" w:hAnsi="Times New Roman"/>
        </w:rPr>
        <w:t>200,00 se &gt; 200 mq. e ≤ 1400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2"/>
        </w:numPr>
        <w:rPr>
          <w:rFonts w:ascii="Times New Roman" w:hAnsi="Times New Roman"/>
        </w:rPr>
      </w:pPr>
      <w:hyperlink r:id="rId14" w:tgtFrame="Simbolo dell'euro">
        <w:r>
          <w:rPr>
            <w:rFonts w:ascii="Times New Roman" w:hAnsi="Times New Roman"/>
          </w:rPr>
          <w:t>€</w:t>
        </w:r>
      </w:hyperlink>
      <w:r>
        <w:rPr>
          <w:rFonts w:ascii="Times New Roman" w:hAnsi="Times New Roman"/>
        </w:rPr>
        <w:t xml:space="preserve"> </w:t>
      </w:r>
      <w:r>
        <w:rPr>
          <w:rFonts w:ascii="Times New Roman" w:hAnsi="Times New Roman"/>
        </w:rPr>
        <w:t>400,00 se &gt; 1400 mq e ≤ 5000 mq (rif.  superficie lorda)</w:t>
      </w:r>
      <w:r>
        <w:rPr>
          <w:rFonts w:ascii="Times New Roman" w:hAnsi="Times New Roman"/>
          <w:u w:val="single"/>
        </w:rPr>
        <w:t xml:space="preserve"> per unità non residenziali</w:t>
      </w:r>
      <w:r>
        <w:rPr>
          <w:rFonts w:ascii="Times New Roman" w:hAnsi="Times New Roman"/>
        </w:rPr>
        <w:t>;</w:t>
      </w:r>
    </w:p>
    <w:p>
      <w:pPr>
        <w:pStyle w:val="ListParagraph"/>
        <w:numPr>
          <w:ilvl w:val="0"/>
          <w:numId w:val="2"/>
        </w:numPr>
        <w:rPr>
          <w:rFonts w:ascii="Times New Roman" w:hAnsi="Times New Roman"/>
        </w:rPr>
      </w:pPr>
      <w:hyperlink r:id="rId15" w:tgtFrame="Simbolo dell'euro">
        <w:r>
          <w:rPr>
            <w:rFonts w:ascii="Times New Roman" w:hAnsi="Times New Roman"/>
          </w:rPr>
          <w:t>€</w:t>
        </w:r>
      </w:hyperlink>
      <w:r>
        <w:rPr>
          <w:rFonts w:ascii="Times New Roman" w:hAnsi="Times New Roman"/>
        </w:rPr>
        <w:t xml:space="preserve"> </w:t>
      </w:r>
      <w:r>
        <w:rPr>
          <w:rFonts w:ascii="Times New Roman" w:hAnsi="Times New Roman"/>
        </w:rPr>
        <w:t>500,00 se &gt; 5000 mq (rif. superficie lorda)</w:t>
      </w:r>
      <w:r>
        <w:rPr>
          <w:rFonts w:ascii="Times New Roman" w:hAnsi="Times New Roman"/>
          <w:u w:val="single"/>
        </w:rPr>
        <w:t xml:space="preserve"> per unità non residenziali</w:t>
      </w:r>
      <w:r>
        <w:rPr>
          <w:rFonts w:ascii="Times New Roman" w:hAnsi="Times New Roman"/>
        </w:rPr>
        <w:t>.</w:t>
      </w:r>
    </w:p>
    <w:p>
      <w:pPr>
        <w:pStyle w:val="ListParagraph"/>
        <w:tabs>
          <w:tab w:val="clear" w:pos="708"/>
          <w:tab w:val="left" w:pos="720" w:leader="none"/>
        </w:tabs>
        <w:suppressAutoHyphens w:val="true"/>
        <w:spacing w:lineRule="auto" w:line="264" w:before="0" w:after="0"/>
        <w:ind w:left="201"/>
        <w:contextualSpacing/>
        <w:jc w:val="both"/>
        <w:rPr>
          <w:rFonts w:ascii="Times New Roman" w:hAnsi="Times New Roman"/>
        </w:rPr>
      </w:pPr>
      <w:r>
        <w:rPr>
          <w:rFonts w:ascii="Times New Roman" w:hAnsi="Times New Roman"/>
        </w:rPr>
      </w:r>
    </w:p>
    <w:p>
      <w:pPr>
        <w:pStyle w:val="Normal"/>
        <w:tabs>
          <w:tab w:val="clear" w:pos="708"/>
          <w:tab w:val="left" w:pos="720" w:leader="none"/>
        </w:tabs>
        <w:suppressAutoHyphens w:val="true"/>
        <w:spacing w:lineRule="auto" w:line="264" w:before="0" w:after="0"/>
        <w:ind w:left="360"/>
        <w:jc w:val="both"/>
        <w:rPr>
          <w:rFonts w:ascii="Times New Roman" w:hAnsi="Times New Roman"/>
          <w:bCs/>
        </w:rPr>
      </w:pPr>
      <w:r>
        <w:rPr>
          <w:rFonts w:ascii="Times New Roman" w:hAnsi="Times New Roman"/>
          <w:b/>
          <w:bCs/>
        </w:rPr>
        <w:t xml:space="preserve">Causale Cap. 652/25 - Sanzione Amministrativa </w:t>
      </w:r>
      <w:r>
        <w:rPr>
          <w:rFonts w:ascii="Times New Roman" w:hAnsi="Times New Roman"/>
          <w:bCs/>
        </w:rPr>
        <w:t>ai sensi del D.P.R. n° 380, art. 24 del 06/06/2001, ricorrente nel caso di trasmissione SCIA di Agibilità ritardata (oltre gg. 15 dalla data di trasmissione del fine lavori):</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77,00</w:t>
      </w:r>
      <w:r>
        <w:rPr>
          <w:rFonts w:ascii="Times New Roman" w:hAnsi="Times New Roman"/>
        </w:rPr>
        <w:t xml:space="preserve">    per ritardata richiesta fino a 30 giorni, quando trattasi di unità residenziale con superficie utile fino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130,00</w:t>
      </w:r>
      <w:r>
        <w:rPr>
          <w:rFonts w:ascii="Times New Roman" w:hAnsi="Times New Roman"/>
        </w:rPr>
        <w:t xml:space="preserve">   per ritardata richiesta nel periodo tra 31 e 90 giorni, quando trattasi di unità residenziale con superficie utile fino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180,00</w:t>
      </w:r>
      <w:r>
        <w:rPr>
          <w:rFonts w:ascii="Times New Roman" w:hAnsi="Times New Roman"/>
        </w:rPr>
        <w:t xml:space="preserve">   per ritardata richiesta nel periodo tra 90 e 180 giorni, quando trattasi di unità residenziale con superficie utile fino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232,00</w:t>
      </w:r>
      <w:r>
        <w:rPr>
          <w:rFonts w:ascii="Times New Roman" w:hAnsi="Times New Roman"/>
        </w:rPr>
        <w:t xml:space="preserve">  per ritardata richiesta oltre 180 giorni, quando trattasi di unità residenziale con superficie utile fino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154,00</w:t>
      </w:r>
      <w:r>
        <w:rPr>
          <w:rFonts w:ascii="Times New Roman" w:hAnsi="Times New Roman"/>
        </w:rPr>
        <w:t xml:space="preserve">  per ritardata richiesta fino a 30 giorni, quando trattasi di unità residenziale con superficie utile superiore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260,00</w:t>
      </w:r>
      <w:r>
        <w:rPr>
          <w:rFonts w:ascii="Times New Roman" w:hAnsi="Times New Roman"/>
        </w:rPr>
        <w:t xml:space="preserve"> per ritardata richiesta nel periodo tra 31 e 90 gg, quando trattasi di unità residenziale con superficie utile superiore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374,00</w:t>
      </w:r>
      <w:r>
        <w:rPr>
          <w:rFonts w:ascii="Times New Roman" w:hAnsi="Times New Roman"/>
        </w:rPr>
        <w:t xml:space="preserve"> per ritardata richiesta nel periodo tra 90 e 180 gg, quando trattasi di unità residenziale con superficie utile superiore a mq. 120; </w:t>
      </w:r>
    </w:p>
    <w:p>
      <w:pPr>
        <w:pStyle w:val="ListParagraph"/>
        <w:numPr>
          <w:ilvl w:val="0"/>
          <w:numId w:val="2"/>
        </w:numPr>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b/>
        </w:rPr>
        <w:t>€</w:t>
      </w:r>
      <w:r>
        <w:rPr>
          <w:rFonts w:ascii="Times New Roman" w:hAnsi="Times New Roman"/>
          <w:b/>
        </w:rPr>
        <w:t>. 464,00</w:t>
      </w:r>
      <w:r>
        <w:rPr>
          <w:rFonts w:ascii="Times New Roman" w:hAnsi="Times New Roman"/>
        </w:rPr>
        <w:t xml:space="preserve"> per ritardata richiesta oltre 180 giorni, quando trattasi di unità residenziale con superficie utile superiore a mq. 120; </w:t>
      </w:r>
    </w:p>
    <w:p>
      <w:pPr>
        <w:pStyle w:val="ListParagraph"/>
        <w:tabs>
          <w:tab w:val="clear" w:pos="708"/>
          <w:tab w:val="left" w:pos="720" w:leader="none"/>
        </w:tabs>
        <w:suppressAutoHyphens w:val="true"/>
        <w:spacing w:lineRule="auto" w:line="264" w:before="0" w:after="0"/>
        <w:ind w:left="360"/>
        <w:contextualSpacing/>
        <w:jc w:val="both"/>
        <w:rPr>
          <w:rFonts w:ascii="Times New Roman" w:hAnsi="Times New Roman"/>
        </w:rPr>
      </w:pPr>
      <w:r>
        <w:rPr>
          <w:rFonts w:ascii="Times New Roman" w:hAnsi="Times New Roman"/>
        </w:rPr>
      </w:r>
    </w:p>
    <w:p>
      <w:pPr>
        <w:pStyle w:val="Normal"/>
        <w:tabs>
          <w:tab w:val="clear" w:pos="708"/>
          <w:tab w:val="left" w:pos="720" w:leader="none"/>
        </w:tabs>
        <w:suppressAutoHyphens w:val="true"/>
        <w:spacing w:lineRule="auto" w:line="264" w:before="0" w:after="0"/>
        <w:ind w:left="360"/>
        <w:jc w:val="both"/>
        <w:rPr>
          <w:rFonts w:ascii="Times New Roman" w:hAnsi="Times New Roman"/>
          <w:bCs/>
        </w:rPr>
      </w:pPr>
      <w:r>
        <w:rPr>
          <w:rFonts w:ascii="Times New Roman" w:hAnsi="Times New Roman"/>
          <w:b/>
          <w:bCs/>
        </w:rPr>
        <w:t xml:space="preserve">Causale Cap. 652/25 - Sanzione Amministrativa </w:t>
      </w:r>
      <w:r>
        <w:rPr>
          <w:rFonts w:ascii="Times New Roman" w:hAnsi="Times New Roman"/>
          <w:bCs/>
        </w:rPr>
        <w:t>ai sensi del D.P.R. n° 380, art. 24 del 06/06/2001, ricorrente nel caso di trasmissione SCIA di Agibilità ritardata (oltre gg. 15 dalla data di trasmissione del fine lavori):</w:t>
      </w:r>
    </w:p>
    <w:p>
      <w:pPr>
        <w:pStyle w:val="ListParagraph"/>
        <w:rPr>
          <w:rFonts w:ascii="Times New Roman" w:hAnsi="Times New Roman"/>
        </w:rPr>
      </w:pPr>
      <w:r>
        <w:rPr>
          <w:rFonts w:ascii="Times New Roman" w:hAnsi="Times New Roman"/>
        </w:rPr>
      </w:r>
    </w:p>
    <w:p>
      <w:pPr>
        <w:pStyle w:val="ListParagraph"/>
        <w:numPr>
          <w:ilvl w:val="0"/>
          <w:numId w:val="9"/>
        </w:numPr>
        <w:jc w:val="both"/>
        <w:rPr>
          <w:rFonts w:ascii="Times New Roman" w:hAnsi="Times New Roman"/>
        </w:rPr>
      </w:pPr>
      <w:r>
        <w:rPr>
          <w:rFonts w:ascii="Times New Roman" w:hAnsi="Times New Roman"/>
        </w:rPr>
        <w:t>€</w:t>
      </w:r>
      <w:r>
        <w:rPr>
          <w:rFonts w:ascii="Times New Roman" w:hAnsi="Times New Roman"/>
        </w:rPr>
        <w:t xml:space="preserve">. 77,00 per ritardata richiesta fino a 30 giorni, quando trattasi di </w:t>
      </w:r>
      <w:r>
        <w:rPr>
          <w:rFonts w:ascii="Times New Roman" w:hAnsi="Times New Roman"/>
          <w:u w:val="single"/>
        </w:rPr>
        <w:t>unità non residenziale</w:t>
      </w:r>
      <w:r>
        <w:rPr>
          <w:rFonts w:ascii="Times New Roman" w:hAnsi="Times New Roman"/>
        </w:rPr>
        <w:t xml:space="preserve"> con superficie utile fino a mq. 200; </w:t>
      </w:r>
    </w:p>
    <w:p>
      <w:pPr>
        <w:pStyle w:val="ListParagraph"/>
        <w:numPr>
          <w:ilvl w:val="0"/>
          <w:numId w:val="10"/>
        </w:numPr>
        <w:jc w:val="both"/>
        <w:rPr>
          <w:rFonts w:ascii="Times New Roman" w:hAnsi="Times New Roman"/>
        </w:rPr>
      </w:pPr>
      <w:r>
        <w:rPr>
          <w:rFonts w:ascii="Times New Roman" w:hAnsi="Times New Roman"/>
        </w:rPr>
        <w:t>€</w:t>
      </w:r>
      <w:r>
        <w:rPr>
          <w:rFonts w:ascii="Times New Roman" w:hAnsi="Times New Roman"/>
        </w:rPr>
        <w:t xml:space="preserve">. 130,00 per ritardata richiesta nel periodo tra 31 e 90 giorni, quando trattasi di </w:t>
      </w:r>
      <w:r>
        <w:rPr>
          <w:rFonts w:ascii="Times New Roman" w:hAnsi="Times New Roman"/>
          <w:u w:val="single"/>
        </w:rPr>
        <w:t>unità non residenziale</w:t>
      </w:r>
      <w:r>
        <w:rPr>
          <w:rFonts w:ascii="Times New Roman" w:hAnsi="Times New Roman"/>
        </w:rPr>
        <w:t xml:space="preserve"> con superficie utile fino a mq. 200; </w:t>
      </w:r>
    </w:p>
    <w:p>
      <w:pPr>
        <w:pStyle w:val="ListParagraph"/>
        <w:numPr>
          <w:ilvl w:val="0"/>
          <w:numId w:val="11"/>
        </w:numPr>
        <w:jc w:val="both"/>
        <w:rPr>
          <w:rFonts w:ascii="Times New Roman" w:hAnsi="Times New Roman"/>
        </w:rPr>
      </w:pPr>
      <w:r>
        <w:rPr>
          <w:rFonts w:ascii="Times New Roman" w:hAnsi="Times New Roman"/>
        </w:rPr>
        <w:t>€</w:t>
      </w:r>
      <w:r>
        <w:rPr>
          <w:rFonts w:ascii="Times New Roman" w:hAnsi="Times New Roman"/>
        </w:rPr>
        <w:t xml:space="preserve">. 180,00 per ritardata richiesta nel periodo tra 90 e 180 giorni, quando trattasi di </w:t>
      </w:r>
      <w:r>
        <w:rPr>
          <w:rFonts w:ascii="Times New Roman" w:hAnsi="Times New Roman"/>
          <w:u w:val="single"/>
        </w:rPr>
        <w:t>unità non residenziale</w:t>
      </w:r>
      <w:r>
        <w:rPr>
          <w:rFonts w:ascii="Times New Roman" w:hAnsi="Times New Roman"/>
        </w:rPr>
        <w:t xml:space="preserve"> con superficie utile fino a mq. 200; </w:t>
      </w:r>
    </w:p>
    <w:p>
      <w:pPr>
        <w:pStyle w:val="ListParagraph"/>
        <w:numPr>
          <w:ilvl w:val="0"/>
          <w:numId w:val="12"/>
        </w:numPr>
        <w:jc w:val="both"/>
        <w:rPr>
          <w:rFonts w:ascii="Times New Roman" w:hAnsi="Times New Roman"/>
        </w:rPr>
      </w:pPr>
      <w:r>
        <w:rPr>
          <w:rFonts w:ascii="Times New Roman" w:hAnsi="Times New Roman"/>
        </w:rPr>
        <w:t>€</w:t>
      </w:r>
      <w:r>
        <w:rPr>
          <w:rFonts w:ascii="Times New Roman" w:hAnsi="Times New Roman"/>
        </w:rPr>
        <w:t xml:space="preserve">. 232,00 per ritardata richiesta oltre 180 giorni, quando trattasi di </w:t>
      </w:r>
      <w:r>
        <w:rPr>
          <w:rFonts w:ascii="Times New Roman" w:hAnsi="Times New Roman"/>
          <w:u w:val="single"/>
        </w:rPr>
        <w:t>unità non residenziale</w:t>
      </w:r>
      <w:r>
        <w:rPr>
          <w:rFonts w:ascii="Times New Roman" w:hAnsi="Times New Roman"/>
        </w:rPr>
        <w:t xml:space="preserve"> con superficie utile fino a mq. 200; </w:t>
      </w:r>
    </w:p>
    <w:p>
      <w:pPr>
        <w:pStyle w:val="ListParagraph"/>
        <w:numPr>
          <w:ilvl w:val="0"/>
          <w:numId w:val="13"/>
        </w:numPr>
        <w:jc w:val="both"/>
        <w:rPr>
          <w:rFonts w:ascii="Times New Roman" w:hAnsi="Times New Roman"/>
        </w:rPr>
      </w:pPr>
      <w:r>
        <w:rPr>
          <w:rFonts w:ascii="Times New Roman" w:hAnsi="Times New Roman"/>
        </w:rPr>
        <w:t>€</w:t>
      </w:r>
      <w:r>
        <w:rPr>
          <w:rFonts w:ascii="Times New Roman" w:hAnsi="Times New Roman"/>
        </w:rPr>
        <w:t xml:space="preserve">. 154,00 per ritardata richiesta fino a 30 giorni, quando trattasi di </w:t>
      </w:r>
      <w:r>
        <w:rPr>
          <w:rFonts w:ascii="Times New Roman" w:hAnsi="Times New Roman"/>
          <w:u w:val="single"/>
        </w:rPr>
        <w:t>unità non residenziale</w:t>
      </w:r>
      <w:r>
        <w:rPr>
          <w:rFonts w:ascii="Times New Roman" w:hAnsi="Times New Roman"/>
        </w:rPr>
        <w:t xml:space="preserve"> con superficie utile superiore a mq. 200; </w:t>
      </w:r>
    </w:p>
    <w:p>
      <w:pPr>
        <w:pStyle w:val="ListParagraph"/>
        <w:numPr>
          <w:ilvl w:val="0"/>
          <w:numId w:val="14"/>
        </w:numPr>
        <w:jc w:val="both"/>
        <w:rPr>
          <w:rFonts w:ascii="Times New Roman" w:hAnsi="Times New Roman"/>
        </w:rPr>
      </w:pPr>
      <w:r>
        <w:rPr>
          <w:rFonts w:ascii="Times New Roman" w:hAnsi="Times New Roman"/>
        </w:rPr>
        <w:t>€</w:t>
      </w:r>
      <w:r>
        <w:rPr>
          <w:rFonts w:ascii="Times New Roman" w:hAnsi="Times New Roman"/>
        </w:rPr>
        <w:t xml:space="preserve">. 260,00 per ritardata richiesta nel periodo tra 31 e 90 gg, quando trattasi di </w:t>
      </w:r>
      <w:r>
        <w:rPr>
          <w:rFonts w:ascii="Times New Roman" w:hAnsi="Times New Roman"/>
          <w:u w:val="single"/>
        </w:rPr>
        <w:t>unità non residenziale</w:t>
      </w:r>
      <w:r>
        <w:rPr>
          <w:rFonts w:ascii="Times New Roman" w:hAnsi="Times New Roman"/>
        </w:rPr>
        <w:t xml:space="preserve"> con superficie utile superiore a mq. 200; </w:t>
      </w:r>
    </w:p>
    <w:p>
      <w:pPr>
        <w:pStyle w:val="ListParagraph"/>
        <w:numPr>
          <w:ilvl w:val="0"/>
          <w:numId w:val="15"/>
        </w:numPr>
        <w:jc w:val="both"/>
        <w:rPr>
          <w:rFonts w:ascii="Times New Roman" w:hAnsi="Times New Roman"/>
        </w:rPr>
      </w:pPr>
      <w:r>
        <w:rPr>
          <w:rFonts w:ascii="Times New Roman" w:hAnsi="Times New Roman"/>
        </w:rPr>
        <w:t>€</w:t>
      </w:r>
      <w:r>
        <w:rPr>
          <w:rFonts w:ascii="Times New Roman" w:hAnsi="Times New Roman"/>
        </w:rPr>
        <w:t xml:space="preserve">. 374,00 per ritardata richiesta nel periodo tra 90 e 180 gg, quando trattasi di </w:t>
      </w:r>
      <w:r>
        <w:rPr>
          <w:rFonts w:ascii="Times New Roman" w:hAnsi="Times New Roman"/>
          <w:u w:val="single"/>
        </w:rPr>
        <w:t>unità non residenziale</w:t>
      </w:r>
      <w:r>
        <w:rPr>
          <w:rFonts w:ascii="Times New Roman" w:hAnsi="Times New Roman"/>
        </w:rPr>
        <w:t xml:space="preserve"> con superficie utile superiore a mq. 200; </w:t>
      </w:r>
    </w:p>
    <w:p>
      <w:pPr>
        <w:pStyle w:val="ListParagraph"/>
        <w:numPr>
          <w:ilvl w:val="0"/>
          <w:numId w:val="16"/>
        </w:numPr>
        <w:jc w:val="both"/>
        <w:rPr>
          <w:rFonts w:ascii="Times New Roman" w:hAnsi="Times New Roman"/>
        </w:rPr>
      </w:pPr>
      <w:r>
        <w:rPr>
          <w:rFonts w:ascii="Times New Roman" w:hAnsi="Times New Roman"/>
        </w:rPr>
        <w:t>€</w:t>
      </w:r>
      <w:r>
        <w:rPr>
          <w:rFonts w:ascii="Times New Roman" w:hAnsi="Times New Roman"/>
        </w:rPr>
        <w:t xml:space="preserve">. 464,00 per ritardata richiesta oltre 180 giorni, quando trattasi di </w:t>
      </w:r>
      <w:r>
        <w:rPr>
          <w:rFonts w:ascii="Times New Roman" w:hAnsi="Times New Roman"/>
          <w:u w:val="single"/>
        </w:rPr>
        <w:t>unità non residenziale</w:t>
      </w:r>
      <w:r>
        <w:rPr>
          <w:rFonts w:ascii="Times New Roman" w:hAnsi="Times New Roman"/>
        </w:rPr>
        <w:t xml:space="preserve"> con superficie utile superiore a mq. 200; </w:t>
      </w:r>
    </w:p>
    <w:p>
      <w:pPr>
        <w:pStyle w:val="ListParagraph"/>
        <w:tabs>
          <w:tab w:val="clear" w:pos="708"/>
          <w:tab w:val="left" w:pos="720" w:leader="none"/>
        </w:tabs>
        <w:suppressAutoHyphens w:val="true"/>
        <w:spacing w:lineRule="auto" w:line="264" w:before="0" w:after="0"/>
        <w:ind w:left="360"/>
        <w:contextualSpacing/>
        <w:jc w:val="both"/>
        <w:rPr>
          <w:rFonts w:ascii="Times New Roman" w:hAnsi="Times New Roman"/>
        </w:rPr>
      </w:pPr>
      <w:r>
        <w:rPr>
          <w:rFonts w:ascii="Times New Roman" w:hAnsi="Times New Roman"/>
        </w:rPr>
      </w:r>
    </w:p>
    <w:p>
      <w:pPr>
        <w:pStyle w:val="ListParagraph"/>
        <w:tabs>
          <w:tab w:val="clear" w:pos="708"/>
          <w:tab w:val="left" w:pos="720" w:leader="none"/>
        </w:tabs>
        <w:suppressAutoHyphens w:val="true"/>
        <w:spacing w:lineRule="auto" w:line="264" w:before="0" w:after="0"/>
        <w:contextualSpacing/>
        <w:jc w:val="both"/>
        <w:rPr>
          <w:rFonts w:ascii="Times New Roman" w:hAnsi="Times New Roman"/>
        </w:rPr>
      </w:pPr>
      <w:r>
        <w:rPr>
          <w:rFonts w:ascii="Times New Roman" w:hAnsi="Times New Roman"/>
        </w:rPr>
        <w:t xml:space="preserve">N.B. - I predetti versamenti sono determinati per singola unità immobiliare; rimangono escluse dal contributo tutte le pertinenze. Nel caso di agibilità riguardante molteplici unità immobiliari accludere schema di calcolo dei versamenti con il quadro delle unità immobiliari, numero dei piani, riferimenti catastali, metratura delle unità (per la determinazione di diritti e sanzione, se ricorre) e relativa cubatura (per la determinazione della tariffa). </w:t>
      </w:r>
    </w:p>
    <w:p>
      <w:pPr>
        <w:pStyle w:val="Normal"/>
        <w:widowControl/>
        <w:bidi w:val="0"/>
        <w:spacing w:lineRule="auto" w:line="276"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582f"/>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it-IT" w:val="it-I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rsid w:val="009e582f"/>
    <w:rPr>
      <w:rFonts w:cs="Times New Roman"/>
      <w:color w:val="0000FF"/>
      <w:u w:val="single"/>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9e582f"/>
    <w:pPr>
      <w:spacing w:before="0" w:after="200"/>
      <w:ind w:left="720"/>
      <w:contextualSpacing/>
    </w:pPr>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Header">
    <w:name w:val="Head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t.wikipedia.org/wiki/Simbolo_dell&apos;euro" TargetMode="External"/><Relationship Id="rId3" Type="http://schemas.openxmlformats.org/officeDocument/2006/relationships/hyperlink" Target="http://it.wikipedia.org/wiki/Simbolo_dell&apos;euro" TargetMode="External"/><Relationship Id="rId4" Type="http://schemas.openxmlformats.org/officeDocument/2006/relationships/hyperlink" Target="http://it.wikipedia.org/wiki/Simbolo_dell&apos;euro" TargetMode="External"/><Relationship Id="rId5" Type="http://schemas.openxmlformats.org/officeDocument/2006/relationships/hyperlink" Target="http://it.wikipedia.org/wiki/Simbolo_dell&apos;euro" TargetMode="External"/><Relationship Id="rId6" Type="http://schemas.openxmlformats.org/officeDocument/2006/relationships/hyperlink" Target="http://it.wikipedia.org/wiki/Simbolo_dell&apos;euro" TargetMode="External"/><Relationship Id="rId7" Type="http://schemas.openxmlformats.org/officeDocument/2006/relationships/hyperlink" Target="http://it.wikipedia.org/wiki/Simbolo_dell&apos;euro" TargetMode="External"/><Relationship Id="rId8" Type="http://schemas.openxmlformats.org/officeDocument/2006/relationships/hyperlink" Target="http://it.wikipedia.org/wiki/Simbolo_dell&apos;euro" TargetMode="External"/><Relationship Id="rId9" Type="http://schemas.openxmlformats.org/officeDocument/2006/relationships/hyperlink" Target="http://it.wikipedia.org/wiki/Simbolo_dell&apos;euro" TargetMode="External"/><Relationship Id="rId10" Type="http://schemas.openxmlformats.org/officeDocument/2006/relationships/hyperlink" Target="http://it.wikipedia.org/wiki/Simbolo_dell&apos;euro" TargetMode="External"/><Relationship Id="rId11" Type="http://schemas.openxmlformats.org/officeDocument/2006/relationships/hyperlink" Target="http://it.wikipedia.org/wiki/Simbolo_dell&apos;euro" TargetMode="External"/><Relationship Id="rId12" Type="http://schemas.openxmlformats.org/officeDocument/2006/relationships/hyperlink" Target="http://it.wikipedia.org/wiki/Simbolo_dell&apos;euro" TargetMode="External"/><Relationship Id="rId13" Type="http://schemas.openxmlformats.org/officeDocument/2006/relationships/hyperlink" Target="http://it.wikipedia.org/wiki/Simbolo_dell&apos;euro" TargetMode="External"/><Relationship Id="rId14" Type="http://schemas.openxmlformats.org/officeDocument/2006/relationships/hyperlink" Target="http://it.wikipedia.org/wiki/Simbolo_dell&apos;euro" TargetMode="External"/><Relationship Id="rId15" Type="http://schemas.openxmlformats.org/officeDocument/2006/relationships/hyperlink" Target="http://it.wikipedia.org/wiki/Simbolo_dell&apos;euro"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LibreOffice/7.6.5.2$Windows_X86_64 LibreOffice_project/38d5f62f85355c192ef5f1dd47c5c0c0c6d6598b</Application>
  <AppVersion>15.0000</AppVersion>
  <Pages>2</Pages>
  <Words>832</Words>
  <Characters>4084</Characters>
  <CharactersWithSpaces>4882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2018-01-16T09:57:00Z</dcterms:created>
  <dc:creator>terranova</dc:creator>
  <dc:description/>
  <dc:language>it-IT</dc:language>
  <cp:lastModifiedBy/>
  <dcterms:modified xsi:type="dcterms:W3CDTF">2025-10-28T09:28:41Z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